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31" w:rsidRDefault="001201F7" w:rsidP="00A71637">
      <w:pPr>
        <w:pStyle w:val="2"/>
        <w:numPr>
          <w:ilvl w:val="1"/>
          <w:numId w:val="0"/>
        </w:numPr>
        <w:spacing w:before="240" w:after="240"/>
        <w:jc w:val="center"/>
        <w:rPr>
          <w:rFonts w:hint="eastAsia"/>
          <w:color w:val="auto"/>
          <w:sz w:val="44"/>
          <w:szCs w:val="44"/>
        </w:rPr>
      </w:pPr>
      <w:bookmarkStart w:id="0" w:name="_Toc73101664"/>
      <w:bookmarkStart w:id="1" w:name="_Toc517629945"/>
      <w:r>
        <w:rPr>
          <w:rFonts w:hint="eastAsia"/>
          <w:color w:val="auto"/>
          <w:sz w:val="44"/>
          <w:szCs w:val="44"/>
        </w:rPr>
        <w:t>海</w:t>
      </w:r>
      <w:proofErr w:type="gramStart"/>
      <w:r>
        <w:rPr>
          <w:rFonts w:hint="eastAsia"/>
          <w:color w:val="auto"/>
          <w:sz w:val="44"/>
          <w:szCs w:val="44"/>
        </w:rPr>
        <w:t>沧</w:t>
      </w:r>
      <w:proofErr w:type="gramEnd"/>
      <w:r>
        <w:rPr>
          <w:rFonts w:hint="eastAsia"/>
          <w:color w:val="auto"/>
          <w:sz w:val="44"/>
          <w:szCs w:val="44"/>
        </w:rPr>
        <w:t>医院机房扩建</w:t>
      </w:r>
      <w:r w:rsidR="00CF6031">
        <w:rPr>
          <w:rFonts w:hint="eastAsia"/>
          <w:color w:val="auto"/>
          <w:sz w:val="44"/>
          <w:szCs w:val="44"/>
        </w:rPr>
        <w:t>要求及报价</w:t>
      </w:r>
    </w:p>
    <w:p w:rsidR="00ED3FF2" w:rsidRPr="00CF6031" w:rsidRDefault="001201F7" w:rsidP="00A71637">
      <w:pPr>
        <w:pStyle w:val="2"/>
        <w:numPr>
          <w:ilvl w:val="0"/>
          <w:numId w:val="9"/>
        </w:numPr>
        <w:jc w:val="left"/>
        <w:rPr>
          <w:color w:val="auto"/>
          <w:sz w:val="28"/>
          <w:szCs w:val="28"/>
        </w:rPr>
      </w:pPr>
      <w:r w:rsidRPr="00CF6031">
        <w:rPr>
          <w:rFonts w:hint="eastAsia"/>
          <w:color w:val="auto"/>
          <w:sz w:val="28"/>
          <w:szCs w:val="28"/>
        </w:rPr>
        <w:t>项目概述</w:t>
      </w:r>
      <w:bookmarkEnd w:id="0"/>
    </w:p>
    <w:p w:rsidR="00ED3FF2" w:rsidRDefault="001201F7" w:rsidP="00CF6031">
      <w:pPr>
        <w:pStyle w:val="a0"/>
        <w:ind w:firstLine="480"/>
      </w:pPr>
      <w:r>
        <w:rPr>
          <w:rFonts w:hint="eastAsia"/>
        </w:rPr>
        <w:t>厦门市海</w:t>
      </w:r>
      <w:proofErr w:type="gramStart"/>
      <w:r>
        <w:rPr>
          <w:rFonts w:hint="eastAsia"/>
        </w:rPr>
        <w:t>沧</w:t>
      </w:r>
      <w:proofErr w:type="gramEnd"/>
      <w:r>
        <w:rPr>
          <w:rFonts w:hint="eastAsia"/>
        </w:rPr>
        <w:t>医院是一所专科特色明显的综合性医院，工程主体为建筑面积</w:t>
      </w:r>
      <w:r>
        <w:rPr>
          <w:rFonts w:hint="eastAsia"/>
        </w:rPr>
        <w:t>49000</w:t>
      </w:r>
      <w:r>
        <w:rPr>
          <w:rFonts w:hint="eastAsia"/>
        </w:rPr>
        <w:t>平方米的门急诊、医技和住院综合楼，设计楼层</w:t>
      </w:r>
      <w:r>
        <w:rPr>
          <w:rFonts w:hint="eastAsia"/>
        </w:rPr>
        <w:t>19</w:t>
      </w:r>
      <w:r>
        <w:rPr>
          <w:rFonts w:hint="eastAsia"/>
        </w:rPr>
        <w:t>层。</w:t>
      </w:r>
    </w:p>
    <w:p w:rsidR="00ED3FF2" w:rsidRDefault="001201F7" w:rsidP="00CF6031">
      <w:pPr>
        <w:pStyle w:val="a0"/>
        <w:ind w:firstLine="480"/>
      </w:pPr>
      <w:r>
        <w:rPr>
          <w:rFonts w:hint="eastAsia"/>
        </w:rPr>
        <w:t>信息机房位于门诊住院综合楼四层信息中心机房，建筑面积约</w:t>
      </w:r>
      <w:r>
        <w:rPr>
          <w:rFonts w:hint="eastAsia"/>
        </w:rPr>
        <w:t>159</w:t>
      </w:r>
      <w:r>
        <w:rPr>
          <w:rFonts w:hint="eastAsia"/>
        </w:rPr>
        <w:t>平方米（不含网</w:t>
      </w:r>
      <w:r>
        <w:rPr>
          <w:rFonts w:hint="eastAsia"/>
        </w:rPr>
        <w:t>络信息部办公区域），其中核心机房</w:t>
      </w:r>
      <w:r>
        <w:rPr>
          <w:rFonts w:hint="eastAsia"/>
        </w:rPr>
        <w:t>98</w:t>
      </w:r>
      <w:r>
        <w:rPr>
          <w:rFonts w:hint="eastAsia"/>
        </w:rPr>
        <w:t>平方米，监控室</w:t>
      </w:r>
      <w:r>
        <w:rPr>
          <w:rFonts w:hint="eastAsia"/>
        </w:rPr>
        <w:t>38</w:t>
      </w:r>
      <w:r>
        <w:rPr>
          <w:rFonts w:hint="eastAsia"/>
        </w:rPr>
        <w:t>平方米，配电及</w:t>
      </w:r>
      <w:r>
        <w:rPr>
          <w:rFonts w:hint="eastAsia"/>
        </w:rPr>
        <w:t>UPS</w:t>
      </w:r>
      <w:r>
        <w:rPr>
          <w:rFonts w:hint="eastAsia"/>
        </w:rPr>
        <w:t>间约</w:t>
      </w:r>
      <w:r>
        <w:rPr>
          <w:rFonts w:hint="eastAsia"/>
        </w:rPr>
        <w:t>23</w:t>
      </w:r>
      <w:r>
        <w:rPr>
          <w:rFonts w:hint="eastAsia"/>
        </w:rPr>
        <w:t>平方米。门诊住院综合楼四层信息中心机房按照</w:t>
      </w:r>
      <w:r>
        <w:rPr>
          <w:rFonts w:hint="eastAsia"/>
        </w:rPr>
        <w:t>B</w:t>
      </w:r>
      <w:r>
        <w:rPr>
          <w:rFonts w:hint="eastAsia"/>
        </w:rPr>
        <w:t>级机房进行设计，一期已经建设</w:t>
      </w:r>
      <w:r>
        <w:rPr>
          <w:rFonts w:hint="eastAsia"/>
        </w:rPr>
        <w:t>12</w:t>
      </w:r>
      <w:r>
        <w:rPr>
          <w:rFonts w:hint="eastAsia"/>
        </w:rPr>
        <w:t>个机柜。本次增加</w:t>
      </w:r>
      <w:r>
        <w:rPr>
          <w:rFonts w:hint="eastAsia"/>
        </w:rPr>
        <w:t>12</w:t>
      </w:r>
      <w:r>
        <w:rPr>
          <w:rFonts w:hint="eastAsia"/>
        </w:rPr>
        <w:t>个机柜及配套智能化系统设备。</w:t>
      </w:r>
    </w:p>
    <w:p w:rsidR="00ED3FF2" w:rsidRPr="00CF6031" w:rsidRDefault="001201F7" w:rsidP="00A71637">
      <w:pPr>
        <w:pStyle w:val="2"/>
        <w:numPr>
          <w:ilvl w:val="0"/>
          <w:numId w:val="9"/>
        </w:numPr>
        <w:jc w:val="left"/>
        <w:rPr>
          <w:color w:val="auto"/>
          <w:sz w:val="28"/>
          <w:szCs w:val="28"/>
        </w:rPr>
      </w:pPr>
      <w:bookmarkStart w:id="2" w:name="_Toc498935357"/>
      <w:bookmarkStart w:id="3" w:name="_Toc73101671"/>
      <w:bookmarkStart w:id="4" w:name="_Toc517629962"/>
      <w:bookmarkStart w:id="5" w:name="_Toc499654900"/>
      <w:bookmarkEnd w:id="1"/>
      <w:r w:rsidRPr="00CF6031">
        <w:rPr>
          <w:rFonts w:hint="eastAsia"/>
          <w:color w:val="auto"/>
          <w:sz w:val="28"/>
          <w:szCs w:val="28"/>
        </w:rPr>
        <w:t>建设目标</w:t>
      </w:r>
      <w:bookmarkEnd w:id="2"/>
      <w:bookmarkEnd w:id="3"/>
      <w:bookmarkEnd w:id="4"/>
      <w:bookmarkEnd w:id="5"/>
    </w:p>
    <w:p w:rsidR="00ED3FF2" w:rsidRPr="00CF6031" w:rsidRDefault="001201F7" w:rsidP="00CF6031">
      <w:pPr>
        <w:pStyle w:val="a0"/>
        <w:ind w:firstLine="480"/>
        <w:rPr>
          <w:bCs/>
        </w:rPr>
      </w:pPr>
      <w:r w:rsidRPr="00CF6031">
        <w:rPr>
          <w:rFonts w:hint="eastAsia"/>
        </w:rPr>
        <w:t>海</w:t>
      </w:r>
      <w:proofErr w:type="gramStart"/>
      <w:r w:rsidRPr="00CF6031">
        <w:rPr>
          <w:rFonts w:hint="eastAsia"/>
        </w:rPr>
        <w:t>沧</w:t>
      </w:r>
      <w:proofErr w:type="gramEnd"/>
      <w:r w:rsidRPr="00CF6031">
        <w:rPr>
          <w:rFonts w:hint="eastAsia"/>
        </w:rPr>
        <w:t>医院信息机房扩建项目是</w:t>
      </w:r>
      <w:r w:rsidRPr="00CF6031">
        <w:rPr>
          <w:rFonts w:hint="eastAsia"/>
          <w:bCs/>
        </w:rPr>
        <w:t>在原有</w:t>
      </w:r>
      <w:r w:rsidRPr="00CF6031">
        <w:rPr>
          <w:rFonts w:hint="eastAsia"/>
          <w:bCs/>
        </w:rPr>
        <w:t>B</w:t>
      </w:r>
      <w:r w:rsidRPr="00CF6031">
        <w:rPr>
          <w:rFonts w:hint="eastAsia"/>
          <w:bCs/>
        </w:rPr>
        <w:t>级机房的基础上增加服务器机柜及配套的供配电系统、综合布线系统、网络系统、防雷接地系统、场地监控系统设备，应完善基础环境建设，为医院业务发展提供坚实的基础。</w:t>
      </w:r>
    </w:p>
    <w:p w:rsidR="00ED3FF2" w:rsidRPr="00CF6031" w:rsidRDefault="001201F7" w:rsidP="00A71637">
      <w:pPr>
        <w:pStyle w:val="2"/>
        <w:numPr>
          <w:ilvl w:val="0"/>
          <w:numId w:val="9"/>
        </w:numPr>
        <w:jc w:val="left"/>
        <w:rPr>
          <w:color w:val="auto"/>
          <w:sz w:val="28"/>
          <w:szCs w:val="28"/>
        </w:rPr>
      </w:pPr>
      <w:bookmarkStart w:id="6" w:name="_Toc517629965"/>
      <w:bookmarkStart w:id="7" w:name="_Toc499654901"/>
      <w:bookmarkStart w:id="8" w:name="_Toc498935358"/>
      <w:bookmarkStart w:id="9" w:name="_Toc73101672"/>
      <w:r w:rsidRPr="00CF6031">
        <w:rPr>
          <w:rFonts w:hint="eastAsia"/>
          <w:color w:val="auto"/>
          <w:sz w:val="28"/>
          <w:szCs w:val="28"/>
        </w:rPr>
        <w:t>项目建设内容</w:t>
      </w:r>
      <w:bookmarkEnd w:id="6"/>
      <w:bookmarkEnd w:id="7"/>
      <w:bookmarkEnd w:id="8"/>
      <w:bookmarkEnd w:id="9"/>
    </w:p>
    <w:p w:rsidR="00ED3FF2" w:rsidRPr="00CF6031" w:rsidRDefault="001201F7" w:rsidP="00CF6031">
      <w:pPr>
        <w:pStyle w:val="3"/>
        <w:numPr>
          <w:ilvl w:val="0"/>
          <w:numId w:val="13"/>
        </w:numPr>
        <w:rPr>
          <w:color w:val="auto"/>
          <w:sz w:val="28"/>
        </w:rPr>
      </w:pPr>
      <w:bookmarkStart w:id="10" w:name="_Toc73101673"/>
      <w:r w:rsidRPr="00CF6031">
        <w:rPr>
          <w:rFonts w:hint="eastAsia"/>
          <w:color w:val="auto"/>
          <w:sz w:val="28"/>
        </w:rPr>
        <w:t>机房电气系统</w:t>
      </w:r>
      <w:bookmarkEnd w:id="10"/>
      <w:r w:rsidRPr="00CF6031">
        <w:rPr>
          <w:rFonts w:hint="eastAsia"/>
          <w:color w:val="auto"/>
          <w:sz w:val="28"/>
        </w:rPr>
        <w:t>与空调</w:t>
      </w:r>
    </w:p>
    <w:p w:rsidR="00ED3FF2" w:rsidRDefault="001201F7" w:rsidP="00CF6031">
      <w:pPr>
        <w:pStyle w:val="a0"/>
        <w:ind w:firstLine="480"/>
        <w:rPr>
          <w:rFonts w:asciiTheme="minorEastAsia" w:hAnsiTheme="minorEastAsia"/>
          <w:szCs w:val="24"/>
        </w:rPr>
      </w:pPr>
      <w:r>
        <w:rPr>
          <w:rFonts w:asciiTheme="minorEastAsia" w:hAnsiTheme="minorEastAsia" w:hint="eastAsia"/>
          <w:szCs w:val="24"/>
        </w:rPr>
        <w:t>将新增机柜的</w:t>
      </w:r>
      <w:r>
        <w:rPr>
          <w:rFonts w:asciiTheme="minorEastAsia" w:hAnsiTheme="minorEastAsia" w:hint="eastAsia"/>
          <w:szCs w:val="24"/>
        </w:rPr>
        <w:t>PDU</w:t>
      </w:r>
      <w:r>
        <w:rPr>
          <w:rFonts w:asciiTheme="minorEastAsia" w:hAnsiTheme="minorEastAsia" w:hint="eastAsia"/>
          <w:szCs w:val="24"/>
        </w:rPr>
        <w:t>供电回路接入原有电源列头柜，接入后核算机房已建设</w:t>
      </w:r>
      <w:r>
        <w:rPr>
          <w:rFonts w:asciiTheme="minorEastAsia" w:hAnsiTheme="minorEastAsia" w:hint="eastAsia"/>
          <w:szCs w:val="24"/>
        </w:rPr>
        <w:t>UPS</w:t>
      </w:r>
      <w:r>
        <w:rPr>
          <w:rFonts w:asciiTheme="minorEastAsia" w:hAnsiTheme="minorEastAsia" w:hint="eastAsia"/>
          <w:szCs w:val="24"/>
        </w:rPr>
        <w:t>供配电负载情况，使其达到三相负载平衡电压稳定度，结合机房已建设精密空调的送风方式选择匹配的通风式服务器机柜。</w:t>
      </w:r>
    </w:p>
    <w:p w:rsidR="00ED3FF2" w:rsidRPr="00CF6031" w:rsidRDefault="001201F7" w:rsidP="00CF6031">
      <w:pPr>
        <w:pStyle w:val="3"/>
        <w:numPr>
          <w:ilvl w:val="0"/>
          <w:numId w:val="13"/>
        </w:numPr>
        <w:rPr>
          <w:color w:val="auto"/>
          <w:sz w:val="28"/>
        </w:rPr>
      </w:pPr>
      <w:bookmarkStart w:id="11" w:name="_Toc73101674"/>
      <w:r w:rsidRPr="00CF6031">
        <w:rPr>
          <w:rFonts w:hint="eastAsia"/>
          <w:color w:val="auto"/>
          <w:sz w:val="28"/>
        </w:rPr>
        <w:t>机房防雷接地系统</w:t>
      </w:r>
      <w:bookmarkEnd w:id="11"/>
    </w:p>
    <w:p w:rsidR="00ED3FF2" w:rsidRDefault="001201F7" w:rsidP="00CF6031">
      <w:pPr>
        <w:pStyle w:val="a0"/>
        <w:ind w:firstLine="480"/>
      </w:pPr>
      <w:r>
        <w:rPr>
          <w:rFonts w:hint="eastAsia"/>
        </w:rPr>
        <w:t>新增机柜的接地线路接入原有接地网格。</w:t>
      </w:r>
    </w:p>
    <w:p w:rsidR="00ED3FF2" w:rsidRPr="00CF6031" w:rsidRDefault="001201F7" w:rsidP="00CF6031">
      <w:pPr>
        <w:pStyle w:val="3"/>
        <w:numPr>
          <w:ilvl w:val="0"/>
          <w:numId w:val="13"/>
        </w:numPr>
        <w:rPr>
          <w:color w:val="auto"/>
          <w:sz w:val="28"/>
        </w:rPr>
      </w:pPr>
      <w:bookmarkStart w:id="12" w:name="_Toc73101675"/>
      <w:r w:rsidRPr="00CF6031">
        <w:rPr>
          <w:rFonts w:hint="eastAsia"/>
          <w:color w:val="auto"/>
          <w:sz w:val="28"/>
        </w:rPr>
        <w:t>机房机柜</w:t>
      </w:r>
      <w:bookmarkEnd w:id="12"/>
    </w:p>
    <w:p w:rsidR="00ED3FF2" w:rsidRDefault="001201F7" w:rsidP="00CF6031">
      <w:pPr>
        <w:pStyle w:val="a0"/>
        <w:ind w:firstLine="480"/>
      </w:pPr>
      <w:r>
        <w:rPr>
          <w:rFonts w:hint="eastAsia"/>
        </w:rPr>
        <w:t>新增</w:t>
      </w:r>
      <w:r>
        <w:rPr>
          <w:rFonts w:hint="eastAsia"/>
        </w:rPr>
        <w:t>2</w:t>
      </w:r>
      <w:r>
        <w:rPr>
          <w:rFonts w:hint="eastAsia"/>
        </w:rPr>
        <w:t>台</w:t>
      </w:r>
      <w:r>
        <w:t>800*1200*2000mm</w:t>
      </w:r>
      <w:r>
        <w:t>网络</w:t>
      </w:r>
      <w:proofErr w:type="gramStart"/>
      <w:r>
        <w:t>列头柜和</w:t>
      </w:r>
      <w:proofErr w:type="gramEnd"/>
      <w:r>
        <w:rPr>
          <w:rFonts w:hint="eastAsia"/>
        </w:rPr>
        <w:t>10</w:t>
      </w:r>
      <w:r>
        <w:rPr>
          <w:rFonts w:hint="eastAsia"/>
        </w:rPr>
        <w:t>台</w:t>
      </w:r>
      <w:r>
        <w:t>600*1</w:t>
      </w:r>
      <w:r>
        <w:t>200*2000mm</w:t>
      </w:r>
      <w:r>
        <w:t>服务器机柜</w:t>
      </w:r>
      <w:r>
        <w:rPr>
          <w:rFonts w:hint="eastAsia"/>
        </w:rPr>
        <w:t>，</w:t>
      </w:r>
      <w:r>
        <w:t>每台机柜配置</w:t>
      </w:r>
      <w:r>
        <w:rPr>
          <w:rFonts w:hint="eastAsia"/>
        </w:rPr>
        <w:t>2</w:t>
      </w:r>
      <w:r>
        <w:rPr>
          <w:rFonts w:hint="eastAsia"/>
        </w:rPr>
        <w:t>个</w:t>
      </w:r>
      <w:r>
        <w:rPr>
          <w:rFonts w:hint="eastAsia"/>
        </w:rPr>
        <w:t>32A  PDU</w:t>
      </w:r>
      <w:r>
        <w:rPr>
          <w:rFonts w:hint="eastAsia"/>
        </w:rPr>
        <w:t>。</w:t>
      </w:r>
    </w:p>
    <w:p w:rsidR="00ED3FF2" w:rsidRPr="00CF6031" w:rsidRDefault="001201F7" w:rsidP="00CF6031">
      <w:pPr>
        <w:pStyle w:val="3"/>
        <w:numPr>
          <w:ilvl w:val="0"/>
          <w:numId w:val="13"/>
        </w:numPr>
        <w:rPr>
          <w:color w:val="auto"/>
          <w:sz w:val="28"/>
        </w:rPr>
      </w:pPr>
      <w:bookmarkStart w:id="13" w:name="_Toc73101676"/>
      <w:r w:rsidRPr="00CF6031">
        <w:rPr>
          <w:rFonts w:hint="eastAsia"/>
          <w:color w:val="auto"/>
          <w:sz w:val="28"/>
        </w:rPr>
        <w:t>机房综合布线系统</w:t>
      </w:r>
      <w:bookmarkEnd w:id="13"/>
    </w:p>
    <w:p w:rsidR="00CF6031" w:rsidRDefault="001201F7" w:rsidP="00CF6031">
      <w:pPr>
        <w:pStyle w:val="a0"/>
        <w:numPr>
          <w:ilvl w:val="0"/>
          <w:numId w:val="4"/>
        </w:numPr>
        <w:ind w:firstLineChars="0"/>
        <w:rPr>
          <w:rFonts w:hint="eastAsia"/>
        </w:rPr>
      </w:pPr>
      <w:r>
        <w:rPr>
          <w:rFonts w:hint="eastAsia"/>
        </w:rPr>
        <w:t>新增机柜综合布线采用光纤</w:t>
      </w:r>
      <w:r>
        <w:rPr>
          <w:rFonts w:hint="eastAsia"/>
        </w:rPr>
        <w:t>+</w:t>
      </w:r>
      <w:r>
        <w:rPr>
          <w:rFonts w:hint="eastAsia"/>
        </w:rPr>
        <w:t>六类铜缆布线系统，</w:t>
      </w:r>
      <w:r>
        <w:rPr>
          <w:rFonts w:ascii="宋体" w:hAnsi="宋体" w:hint="eastAsia"/>
          <w:szCs w:val="24"/>
        </w:rPr>
        <w:t>综合布线系统产品包括光缆、线缆、配线架、模块、面板、跳线、连接器、工具及耗材等需使用同一品牌的产品</w:t>
      </w:r>
      <w:r>
        <w:rPr>
          <w:rFonts w:ascii="宋体" w:hAnsi="宋体" w:hint="eastAsia"/>
          <w:szCs w:val="24"/>
        </w:rPr>
        <w:t>。</w:t>
      </w:r>
    </w:p>
    <w:p w:rsidR="00ED3FF2" w:rsidRPr="00CF6031" w:rsidRDefault="001201F7" w:rsidP="00CF6031">
      <w:pPr>
        <w:pStyle w:val="a0"/>
        <w:numPr>
          <w:ilvl w:val="0"/>
          <w:numId w:val="4"/>
        </w:numPr>
        <w:ind w:firstLineChars="0"/>
      </w:pPr>
      <w:r w:rsidRPr="00CF6031">
        <w:rPr>
          <w:rFonts w:hint="eastAsia"/>
          <w:bCs/>
        </w:rPr>
        <w:lastRenderedPageBreak/>
        <w:t>为医院后续信息业务发展可延伸性在新建设</w:t>
      </w:r>
      <w:r w:rsidRPr="00CF6031">
        <w:rPr>
          <w:rFonts w:hint="eastAsia"/>
          <w:bCs/>
        </w:rPr>
        <w:t>12</w:t>
      </w:r>
      <w:r w:rsidRPr="00CF6031">
        <w:rPr>
          <w:rFonts w:hint="eastAsia"/>
          <w:bCs/>
        </w:rPr>
        <w:t>个机柜与原有</w:t>
      </w:r>
      <w:r w:rsidRPr="00CF6031">
        <w:rPr>
          <w:rFonts w:hint="eastAsia"/>
          <w:bCs/>
        </w:rPr>
        <w:t>12</w:t>
      </w:r>
      <w:r w:rsidRPr="00CF6031">
        <w:rPr>
          <w:rFonts w:hint="eastAsia"/>
          <w:bCs/>
        </w:rPr>
        <w:t>台机柜之间要求综合布线系统信息点及光纤点的有端口互通连接，保证后续业务能在机柜与机柜之间通讯</w:t>
      </w:r>
      <w:r w:rsidRPr="00CF6031">
        <w:rPr>
          <w:rFonts w:hint="eastAsia"/>
          <w:bCs/>
        </w:rPr>
        <w:t>。</w:t>
      </w:r>
    </w:p>
    <w:p w:rsidR="00ED3FF2" w:rsidRPr="00CF6031" w:rsidRDefault="001201F7" w:rsidP="00CF6031">
      <w:pPr>
        <w:pStyle w:val="3"/>
        <w:numPr>
          <w:ilvl w:val="0"/>
          <w:numId w:val="13"/>
        </w:numPr>
        <w:rPr>
          <w:color w:val="auto"/>
          <w:sz w:val="28"/>
        </w:rPr>
      </w:pPr>
      <w:bookmarkStart w:id="14" w:name="_Toc73101677"/>
      <w:r w:rsidRPr="00CF6031">
        <w:rPr>
          <w:rFonts w:hint="eastAsia"/>
          <w:color w:val="auto"/>
          <w:sz w:val="28"/>
        </w:rPr>
        <w:t>机房场地监控系统</w:t>
      </w:r>
      <w:bookmarkEnd w:id="14"/>
      <w:r w:rsidR="00CF6031">
        <w:rPr>
          <w:rFonts w:hint="eastAsia"/>
          <w:color w:val="auto"/>
          <w:sz w:val="28"/>
        </w:rPr>
        <w:t>建设要求</w:t>
      </w:r>
    </w:p>
    <w:p w:rsidR="00CF6031" w:rsidRDefault="001201F7" w:rsidP="00CF6031">
      <w:pPr>
        <w:pStyle w:val="a0"/>
        <w:numPr>
          <w:ilvl w:val="0"/>
          <w:numId w:val="19"/>
        </w:numPr>
        <w:ind w:firstLineChars="0"/>
        <w:rPr>
          <w:rFonts w:hint="eastAsia"/>
        </w:rPr>
      </w:pPr>
      <w:r>
        <w:rPr>
          <w:rFonts w:hint="eastAsia"/>
        </w:rPr>
        <w:t>原机房建设的电源列头柜：供电进线电压、电流、频率、功率及重要回路的开关状态；</w:t>
      </w:r>
    </w:p>
    <w:p w:rsidR="00CF6031" w:rsidRDefault="001201F7" w:rsidP="00CF6031">
      <w:pPr>
        <w:pStyle w:val="a0"/>
        <w:numPr>
          <w:ilvl w:val="0"/>
          <w:numId w:val="19"/>
        </w:numPr>
        <w:ind w:firstLineChars="0"/>
        <w:rPr>
          <w:rFonts w:hint="eastAsia"/>
        </w:rPr>
      </w:pPr>
      <w:r>
        <w:rPr>
          <w:rFonts w:hint="eastAsia"/>
        </w:rPr>
        <w:t>服务器机柜：</w:t>
      </w:r>
      <w:r>
        <w:rPr>
          <w:rFonts w:hint="eastAsia"/>
        </w:rPr>
        <w:t>PDU</w:t>
      </w:r>
      <w:r>
        <w:rPr>
          <w:rFonts w:hint="eastAsia"/>
        </w:rPr>
        <w:t>电压、电流、频率、功率监测；</w:t>
      </w:r>
    </w:p>
    <w:p w:rsidR="00ED3FF2" w:rsidRDefault="001201F7" w:rsidP="00CF6031">
      <w:pPr>
        <w:pStyle w:val="a0"/>
        <w:numPr>
          <w:ilvl w:val="0"/>
          <w:numId w:val="19"/>
        </w:numPr>
        <w:ind w:firstLineChars="0"/>
      </w:pPr>
      <w:r>
        <w:rPr>
          <w:rFonts w:hint="eastAsia"/>
        </w:rPr>
        <w:t>管理软件：并入原机房建设的信息流监控平台软件</w:t>
      </w:r>
      <w:r>
        <w:rPr>
          <w:rFonts w:hint="eastAsia"/>
        </w:rPr>
        <w:t>V6.0</w:t>
      </w:r>
      <w:r>
        <w:rPr>
          <w:rFonts w:hint="eastAsia"/>
        </w:rPr>
        <w:t>。</w:t>
      </w:r>
    </w:p>
    <w:p w:rsidR="00ED3FF2" w:rsidRPr="00CF6031" w:rsidRDefault="001201F7" w:rsidP="00CF6031">
      <w:pPr>
        <w:pStyle w:val="3"/>
        <w:numPr>
          <w:ilvl w:val="0"/>
          <w:numId w:val="13"/>
        </w:numPr>
        <w:rPr>
          <w:color w:val="auto"/>
          <w:sz w:val="28"/>
        </w:rPr>
      </w:pPr>
      <w:bookmarkStart w:id="15" w:name="_Toc73101678"/>
      <w:r w:rsidRPr="00CF6031">
        <w:rPr>
          <w:rFonts w:hint="eastAsia"/>
          <w:color w:val="auto"/>
          <w:sz w:val="28"/>
        </w:rPr>
        <w:t>网络系统</w:t>
      </w:r>
      <w:bookmarkEnd w:id="15"/>
    </w:p>
    <w:p w:rsidR="00ED3FF2" w:rsidRDefault="001201F7" w:rsidP="00CF6031">
      <w:pPr>
        <w:pStyle w:val="a0"/>
        <w:ind w:firstLine="480"/>
      </w:pPr>
      <w:r>
        <w:rPr>
          <w:rFonts w:hint="eastAsia"/>
        </w:rPr>
        <w:t>本项目在</w:t>
      </w:r>
      <w:r>
        <w:rPr>
          <w:rFonts w:hint="eastAsia"/>
        </w:rPr>
        <w:t>10</w:t>
      </w:r>
      <w:r>
        <w:rPr>
          <w:rFonts w:hint="eastAsia"/>
        </w:rPr>
        <w:t>台服务器机柜内各设置一台</w:t>
      </w:r>
      <w:r>
        <w:rPr>
          <w:rFonts w:hint="eastAsia"/>
        </w:rPr>
        <w:t>24</w:t>
      </w:r>
      <w:r>
        <w:rPr>
          <w:rFonts w:hint="eastAsia"/>
        </w:rPr>
        <w:t>口接入交换机。</w:t>
      </w:r>
    </w:p>
    <w:p w:rsidR="00ED3FF2" w:rsidRPr="00CF6031" w:rsidRDefault="001201F7" w:rsidP="00CF6031">
      <w:pPr>
        <w:pStyle w:val="2"/>
        <w:numPr>
          <w:ilvl w:val="0"/>
          <w:numId w:val="9"/>
        </w:numPr>
        <w:spacing w:before="120" w:after="120"/>
        <w:jc w:val="left"/>
        <w:rPr>
          <w:color w:val="auto"/>
          <w:sz w:val="28"/>
          <w:szCs w:val="28"/>
        </w:rPr>
      </w:pPr>
      <w:r w:rsidRPr="00CF6031">
        <w:rPr>
          <w:color w:val="auto"/>
          <w:sz w:val="28"/>
          <w:szCs w:val="28"/>
        </w:rPr>
        <w:t>技术要求（以下内容不允许负偏离）</w:t>
      </w: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100"/>
        <w:gridCol w:w="4186"/>
        <w:gridCol w:w="639"/>
        <w:gridCol w:w="679"/>
        <w:gridCol w:w="858"/>
        <w:gridCol w:w="1128"/>
      </w:tblGrid>
      <w:tr w:rsidR="00A71637" w:rsidTr="00A71637">
        <w:trPr>
          <w:trHeight w:val="390"/>
          <w:tblHeader/>
          <w:jc w:val="center"/>
        </w:trPr>
        <w:tc>
          <w:tcPr>
            <w:tcW w:w="346" w:type="pct"/>
            <w:shd w:val="clear" w:color="auto" w:fill="auto"/>
            <w:noWrap/>
            <w:vAlign w:val="center"/>
          </w:tcPr>
          <w:p w:rsidR="00A71637" w:rsidRDefault="00A71637" w:rsidP="00A71637">
            <w:pPr>
              <w:widowControl/>
              <w:jc w:val="center"/>
              <w:rPr>
                <w:rFonts w:ascii="宋体" w:hAnsi="宋体" w:cs="宋体"/>
                <w:b/>
                <w:bCs/>
                <w:kern w:val="0"/>
                <w:szCs w:val="21"/>
              </w:rPr>
            </w:pPr>
            <w:r>
              <w:rPr>
                <w:rFonts w:ascii="宋体" w:hAnsi="宋体" w:cs="宋体" w:hint="eastAsia"/>
                <w:b/>
                <w:bCs/>
                <w:kern w:val="0"/>
                <w:szCs w:val="21"/>
              </w:rPr>
              <w:t>序号</w:t>
            </w:r>
          </w:p>
        </w:tc>
        <w:tc>
          <w:tcPr>
            <w:tcW w:w="596" w:type="pct"/>
            <w:shd w:val="clear" w:color="auto" w:fill="auto"/>
            <w:noWrap/>
            <w:vAlign w:val="center"/>
          </w:tcPr>
          <w:p w:rsidR="00A71637" w:rsidRDefault="00A71637" w:rsidP="00A71637">
            <w:pPr>
              <w:widowControl/>
              <w:jc w:val="center"/>
              <w:rPr>
                <w:rFonts w:ascii="宋体" w:hAnsi="宋体" w:cs="宋体"/>
                <w:b/>
                <w:bCs/>
                <w:kern w:val="0"/>
                <w:szCs w:val="21"/>
              </w:rPr>
            </w:pPr>
            <w:r>
              <w:rPr>
                <w:rFonts w:ascii="宋体" w:hAnsi="宋体" w:cs="宋体" w:hint="eastAsia"/>
                <w:b/>
                <w:bCs/>
                <w:kern w:val="0"/>
                <w:szCs w:val="21"/>
              </w:rPr>
              <w:t>设备名称</w:t>
            </w:r>
          </w:p>
        </w:tc>
        <w:tc>
          <w:tcPr>
            <w:tcW w:w="2268" w:type="pct"/>
            <w:shd w:val="clear" w:color="auto" w:fill="auto"/>
            <w:noWrap/>
            <w:vAlign w:val="center"/>
          </w:tcPr>
          <w:p w:rsidR="00A71637" w:rsidRDefault="00A71637" w:rsidP="00A71637">
            <w:pPr>
              <w:widowControl/>
              <w:jc w:val="center"/>
              <w:rPr>
                <w:rFonts w:ascii="宋体" w:hAnsi="宋体" w:cs="宋体"/>
                <w:b/>
                <w:bCs/>
                <w:kern w:val="0"/>
                <w:szCs w:val="21"/>
              </w:rPr>
            </w:pPr>
            <w:r>
              <w:rPr>
                <w:rFonts w:ascii="宋体" w:hAnsi="宋体" w:cs="宋体" w:hint="eastAsia"/>
                <w:b/>
                <w:bCs/>
                <w:kern w:val="0"/>
                <w:szCs w:val="21"/>
              </w:rPr>
              <w:t>主要技术参数</w:t>
            </w:r>
          </w:p>
        </w:tc>
        <w:tc>
          <w:tcPr>
            <w:tcW w:w="346" w:type="pct"/>
            <w:shd w:val="clear" w:color="auto" w:fill="auto"/>
            <w:noWrap/>
            <w:vAlign w:val="center"/>
          </w:tcPr>
          <w:p w:rsidR="00A71637" w:rsidRDefault="00A71637" w:rsidP="00A71637">
            <w:pPr>
              <w:widowControl/>
              <w:jc w:val="center"/>
              <w:rPr>
                <w:rFonts w:ascii="宋体" w:hAnsi="宋体" w:cs="宋体"/>
                <w:b/>
                <w:bCs/>
                <w:kern w:val="0"/>
                <w:szCs w:val="21"/>
              </w:rPr>
            </w:pPr>
            <w:r>
              <w:rPr>
                <w:rFonts w:ascii="宋体" w:hAnsi="宋体" w:cs="宋体" w:hint="eastAsia"/>
                <w:b/>
                <w:bCs/>
                <w:kern w:val="0"/>
                <w:szCs w:val="21"/>
              </w:rPr>
              <w:t>单位</w:t>
            </w:r>
          </w:p>
        </w:tc>
        <w:tc>
          <w:tcPr>
            <w:tcW w:w="368" w:type="pct"/>
            <w:shd w:val="clear" w:color="auto" w:fill="auto"/>
            <w:noWrap/>
            <w:vAlign w:val="center"/>
          </w:tcPr>
          <w:p w:rsidR="00A71637" w:rsidRDefault="00A71637" w:rsidP="00A71637">
            <w:pPr>
              <w:widowControl/>
              <w:jc w:val="center"/>
              <w:rPr>
                <w:rFonts w:ascii="宋体" w:hAnsi="宋体" w:cs="宋体"/>
                <w:b/>
                <w:bCs/>
                <w:kern w:val="0"/>
                <w:szCs w:val="21"/>
              </w:rPr>
            </w:pPr>
            <w:r>
              <w:rPr>
                <w:rFonts w:ascii="宋体" w:hAnsi="宋体" w:cs="宋体" w:hint="eastAsia"/>
                <w:b/>
                <w:bCs/>
                <w:kern w:val="0"/>
                <w:szCs w:val="21"/>
              </w:rPr>
              <w:t>数量</w:t>
            </w:r>
          </w:p>
        </w:tc>
        <w:tc>
          <w:tcPr>
            <w:tcW w:w="465" w:type="pct"/>
            <w:vAlign w:val="center"/>
          </w:tcPr>
          <w:p w:rsidR="00A71637" w:rsidRDefault="00A71637" w:rsidP="00A71637">
            <w:pPr>
              <w:widowControl/>
              <w:spacing w:line="60" w:lineRule="auto"/>
              <w:jc w:val="center"/>
              <w:rPr>
                <w:rFonts w:ascii="宋体" w:hAnsi="宋体" w:cs="宋体" w:hint="eastAsia"/>
                <w:b/>
                <w:bCs/>
                <w:kern w:val="0"/>
                <w:szCs w:val="21"/>
              </w:rPr>
            </w:pPr>
            <w:r>
              <w:rPr>
                <w:rFonts w:ascii="宋体" w:hAnsi="宋体" w:cs="宋体" w:hint="eastAsia"/>
                <w:b/>
                <w:bCs/>
                <w:kern w:val="0"/>
                <w:szCs w:val="21"/>
              </w:rPr>
              <w:t>单价</w:t>
            </w:r>
          </w:p>
          <w:p w:rsidR="00A71637" w:rsidRPr="00A71637" w:rsidRDefault="00A71637" w:rsidP="00A71637">
            <w:pPr>
              <w:widowControl/>
              <w:spacing w:line="60" w:lineRule="auto"/>
              <w:jc w:val="center"/>
              <w:rPr>
                <w:rFonts w:ascii="宋体" w:hAnsi="宋体" w:cs="宋体" w:hint="eastAsia"/>
                <w:bCs/>
                <w:kern w:val="0"/>
                <w:sz w:val="18"/>
                <w:szCs w:val="18"/>
              </w:rPr>
            </w:pPr>
            <w:r w:rsidRPr="00A71637">
              <w:rPr>
                <w:rFonts w:ascii="宋体" w:hAnsi="宋体" w:cs="宋体" w:hint="eastAsia"/>
                <w:bCs/>
                <w:kern w:val="0"/>
                <w:sz w:val="18"/>
                <w:szCs w:val="18"/>
              </w:rPr>
              <w:t>（元）</w:t>
            </w:r>
          </w:p>
        </w:tc>
        <w:tc>
          <w:tcPr>
            <w:tcW w:w="611" w:type="pct"/>
            <w:vAlign w:val="center"/>
          </w:tcPr>
          <w:p w:rsidR="00A71637" w:rsidRDefault="00A71637" w:rsidP="00A71637">
            <w:pPr>
              <w:widowControl/>
              <w:jc w:val="center"/>
              <w:rPr>
                <w:rFonts w:ascii="宋体" w:hAnsi="宋体" w:cs="宋体" w:hint="eastAsia"/>
                <w:b/>
                <w:bCs/>
                <w:kern w:val="0"/>
                <w:szCs w:val="21"/>
              </w:rPr>
            </w:pPr>
            <w:r>
              <w:rPr>
                <w:rFonts w:ascii="宋体" w:hAnsi="宋体" w:cs="宋体" w:hint="eastAsia"/>
                <w:b/>
                <w:bCs/>
                <w:kern w:val="0"/>
                <w:szCs w:val="21"/>
              </w:rPr>
              <w:t>总额</w:t>
            </w:r>
          </w:p>
          <w:p w:rsidR="00A71637" w:rsidRPr="00A71637" w:rsidRDefault="00A71637" w:rsidP="00A71637">
            <w:pPr>
              <w:widowControl/>
              <w:jc w:val="center"/>
              <w:rPr>
                <w:rFonts w:ascii="宋体" w:hAnsi="宋体" w:cs="宋体" w:hint="eastAsia"/>
                <w:bCs/>
                <w:kern w:val="0"/>
                <w:szCs w:val="21"/>
              </w:rPr>
            </w:pPr>
            <w:r w:rsidRPr="00A71637">
              <w:rPr>
                <w:rFonts w:ascii="宋体" w:hAnsi="宋体" w:cs="宋体" w:hint="eastAsia"/>
                <w:bCs/>
                <w:kern w:val="0"/>
                <w:sz w:val="20"/>
                <w:szCs w:val="21"/>
              </w:rPr>
              <w:t>（元）</w:t>
            </w:r>
          </w:p>
        </w:tc>
      </w:tr>
      <w:tr w:rsidR="00A71637" w:rsidTr="00A71637">
        <w:trPr>
          <w:trHeight w:val="915"/>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落地式机柜、机架</w:t>
            </w:r>
            <w:r>
              <w:rPr>
                <w:rFonts w:ascii="宋体" w:hAnsi="宋体" w:cs="宋体" w:hint="eastAsia"/>
                <w:b/>
                <w:kern w:val="0"/>
                <w:szCs w:val="21"/>
              </w:rPr>
              <w:t>（核心产品）</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网络布</w:t>
            </w:r>
            <w:proofErr w:type="gramStart"/>
            <w:r>
              <w:rPr>
                <w:rFonts w:ascii="宋体" w:hAnsi="宋体" w:cs="宋体" w:hint="eastAsia"/>
                <w:kern w:val="0"/>
                <w:szCs w:val="21"/>
              </w:rPr>
              <w:t>线列头柜</w:t>
            </w:r>
            <w:proofErr w:type="gramEnd"/>
            <w:r>
              <w:rPr>
                <w:rFonts w:ascii="宋体" w:hAnsi="宋体" w:cs="宋体" w:hint="eastAsia"/>
                <w:kern w:val="0"/>
                <w:szCs w:val="21"/>
              </w:rPr>
              <w:t>≥800*1200*2000mm 采用优质冷轧钢板；前后门设计高密度网孔门，通风率达到≥72%。前门为弧形圆形网孔单门，后门为纯平圆形网孔双门，两侧为可拆双层门板。 产品采用氧化硅烷（陶瓷纳米）工艺。</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台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2</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915"/>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2</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落地式机柜、机架</w:t>
            </w:r>
            <w:r>
              <w:rPr>
                <w:rFonts w:ascii="宋体" w:hAnsi="宋体" w:cs="宋体" w:hint="eastAsia"/>
                <w:b/>
                <w:kern w:val="0"/>
                <w:szCs w:val="21"/>
              </w:rPr>
              <w:t>（核心产品）</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服务器机柜≥600*1200*2000mm 采用优质冷轧钢板；前后门设计高密度网孔门，通风率达到≥72%。前门为弧形圆形网孔单门，后门为纯平圆形网孔双门，两侧为可拆双层门板。 产品采用氧化硅烷（陶瓷纳米）工艺。</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台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10</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93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3</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机柜电源插座</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封闭式隧道母线型设计，无断点、无焊点，低温升，配置多功能热插拔浪涌防护 。32A /250VAC 50/60Hz，与机柜同一品牌。</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台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24</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705"/>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4</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电缆桥架</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开放式网格桥架200*100mm，无毒害环保电镀锌，锌层厚度12цm以上</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米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15</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RPr="00CF6031" w:rsidTr="00A71637">
        <w:trPr>
          <w:trHeight w:val="422"/>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5</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交换机</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1、交换容量≥336Gbps，包转发率≥50Mpps</w:t>
            </w:r>
          </w:p>
          <w:p w:rsidR="00A71637" w:rsidRDefault="00A71637">
            <w:pPr>
              <w:widowControl/>
              <w:jc w:val="left"/>
              <w:rPr>
                <w:rFonts w:ascii="宋体" w:hAnsi="宋体" w:cs="宋体"/>
                <w:kern w:val="0"/>
                <w:szCs w:val="21"/>
              </w:rPr>
            </w:pPr>
            <w:r>
              <w:rPr>
                <w:rFonts w:ascii="宋体" w:hAnsi="宋体" w:cs="宋体" w:hint="eastAsia"/>
                <w:kern w:val="0"/>
                <w:szCs w:val="21"/>
              </w:rPr>
              <w:t>2、24个</w:t>
            </w:r>
            <w:proofErr w:type="gramStart"/>
            <w:r>
              <w:rPr>
                <w:rFonts w:ascii="宋体" w:hAnsi="宋体" w:cs="宋体" w:hint="eastAsia"/>
                <w:kern w:val="0"/>
                <w:szCs w:val="21"/>
              </w:rPr>
              <w:t>千兆电口</w:t>
            </w:r>
            <w:proofErr w:type="gramEnd"/>
            <w:r>
              <w:rPr>
                <w:rFonts w:ascii="宋体" w:hAnsi="宋体" w:cs="宋体" w:hint="eastAsia"/>
                <w:kern w:val="0"/>
                <w:szCs w:val="21"/>
              </w:rPr>
              <w:t>，4个千兆SFP</w:t>
            </w:r>
          </w:p>
          <w:p w:rsidR="00A71637" w:rsidRDefault="00A71637">
            <w:pPr>
              <w:widowControl/>
              <w:jc w:val="left"/>
              <w:rPr>
                <w:rFonts w:ascii="宋体" w:hAnsi="宋体" w:cs="宋体"/>
                <w:kern w:val="0"/>
                <w:szCs w:val="21"/>
              </w:rPr>
            </w:pPr>
            <w:r>
              <w:rPr>
                <w:rFonts w:ascii="宋体" w:hAnsi="宋体" w:cs="宋体" w:hint="eastAsia"/>
                <w:kern w:val="0"/>
                <w:szCs w:val="21"/>
              </w:rPr>
              <w:t>3、支持MAC地址≥16K，支持ARP表项≥2K，提供权威第三方测试报告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4、支持4K</w:t>
            </w:r>
            <w:proofErr w:type="gramStart"/>
            <w:r>
              <w:rPr>
                <w:rFonts w:ascii="宋体" w:hAnsi="宋体" w:cs="宋体" w:hint="eastAsia"/>
                <w:kern w:val="0"/>
                <w:szCs w:val="21"/>
              </w:rPr>
              <w:t>个</w:t>
            </w:r>
            <w:proofErr w:type="gramEnd"/>
            <w:r>
              <w:rPr>
                <w:rFonts w:ascii="宋体" w:hAnsi="宋体" w:cs="宋体" w:hint="eastAsia"/>
                <w:kern w:val="0"/>
                <w:szCs w:val="21"/>
              </w:rPr>
              <w:t>VLAN，支持Voice VLAN，基于端口的VLAN，基于MAC的VLAN，</w:t>
            </w:r>
            <w:proofErr w:type="gramStart"/>
            <w:r>
              <w:rPr>
                <w:rFonts w:ascii="宋体" w:hAnsi="宋体" w:cs="宋体" w:hint="eastAsia"/>
                <w:kern w:val="0"/>
                <w:szCs w:val="21"/>
              </w:rPr>
              <w:t>基于协</w:t>
            </w:r>
            <w:r>
              <w:rPr>
                <w:rFonts w:ascii="宋体" w:hAnsi="宋体" w:cs="宋体" w:hint="eastAsia"/>
                <w:kern w:val="0"/>
                <w:szCs w:val="21"/>
              </w:rPr>
              <w:lastRenderedPageBreak/>
              <w:t>议</w:t>
            </w:r>
            <w:proofErr w:type="gramEnd"/>
            <w:r>
              <w:rPr>
                <w:rFonts w:ascii="宋体" w:hAnsi="宋体" w:cs="宋体" w:hint="eastAsia"/>
                <w:kern w:val="0"/>
                <w:szCs w:val="21"/>
              </w:rPr>
              <w:t>的VLAN，支持VLAN内端口隔离，支持Smart link</w:t>
            </w:r>
          </w:p>
          <w:p w:rsidR="00A71637" w:rsidRDefault="00A71637">
            <w:pPr>
              <w:widowControl/>
              <w:jc w:val="left"/>
              <w:rPr>
                <w:rFonts w:ascii="宋体" w:hAnsi="宋体" w:cs="宋体"/>
                <w:kern w:val="0"/>
                <w:szCs w:val="21"/>
              </w:rPr>
            </w:pPr>
            <w:r>
              <w:rPr>
                <w:rFonts w:ascii="宋体" w:hAnsi="宋体" w:cs="宋体" w:hint="eastAsia"/>
                <w:kern w:val="0"/>
                <w:szCs w:val="21"/>
              </w:rPr>
              <w:t>5、支持端口聚合，每个</w:t>
            </w:r>
            <w:proofErr w:type="gramStart"/>
            <w:r>
              <w:rPr>
                <w:rFonts w:ascii="宋体" w:hAnsi="宋体" w:cs="宋体" w:hint="eastAsia"/>
                <w:kern w:val="0"/>
                <w:szCs w:val="21"/>
              </w:rPr>
              <w:t>聚合组</w:t>
            </w:r>
            <w:proofErr w:type="gramEnd"/>
            <w:r>
              <w:rPr>
                <w:rFonts w:ascii="宋体" w:hAnsi="宋体" w:cs="宋体" w:hint="eastAsia"/>
                <w:kern w:val="0"/>
                <w:szCs w:val="21"/>
              </w:rPr>
              <w:t>至少8个端口；支持跨设备链路聚合</w:t>
            </w:r>
          </w:p>
          <w:p w:rsidR="00A71637" w:rsidRDefault="00A71637">
            <w:pPr>
              <w:widowControl/>
              <w:jc w:val="left"/>
              <w:rPr>
                <w:rFonts w:ascii="宋体" w:hAnsi="宋体" w:cs="宋体"/>
                <w:kern w:val="0"/>
                <w:szCs w:val="21"/>
              </w:rPr>
            </w:pPr>
            <w:r>
              <w:rPr>
                <w:rFonts w:ascii="宋体" w:hAnsi="宋体" w:cs="宋体" w:hint="eastAsia"/>
                <w:kern w:val="0"/>
                <w:szCs w:val="21"/>
              </w:rPr>
              <w:t>6、支持RIP、</w:t>
            </w:r>
            <w:proofErr w:type="spellStart"/>
            <w:r>
              <w:rPr>
                <w:rFonts w:ascii="宋体" w:hAnsi="宋体" w:cs="宋体" w:hint="eastAsia"/>
                <w:kern w:val="0"/>
                <w:szCs w:val="21"/>
              </w:rPr>
              <w:t>RIPng</w:t>
            </w:r>
            <w:proofErr w:type="spellEnd"/>
            <w:r>
              <w:rPr>
                <w:rFonts w:ascii="宋体" w:hAnsi="宋体" w:cs="宋体" w:hint="eastAsia"/>
                <w:kern w:val="0"/>
                <w:szCs w:val="21"/>
              </w:rPr>
              <w:t>、OSPF，提供权威第三方测试报告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7、支持IPv4 FIB表项≥4K，提供权威第三方测试报告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8、支持IGMP v1/v2/v3 Snooping，支持VLAN内组播转发和组播多VLAN复制，支持捆绑端口的组播负载分担，支持可控组播，基于端口的组播流量统计</w:t>
            </w:r>
          </w:p>
          <w:p w:rsidR="00A71637" w:rsidRDefault="00A71637">
            <w:pPr>
              <w:widowControl/>
              <w:jc w:val="left"/>
              <w:rPr>
                <w:rFonts w:ascii="宋体" w:hAnsi="宋体" w:cs="宋体"/>
                <w:kern w:val="0"/>
                <w:szCs w:val="21"/>
              </w:rPr>
            </w:pPr>
            <w:r>
              <w:rPr>
                <w:rFonts w:ascii="宋体" w:hAnsi="宋体" w:cs="宋体" w:hint="eastAsia"/>
                <w:kern w:val="0"/>
                <w:szCs w:val="21"/>
              </w:rPr>
              <w:t>9、支持防止DOS、ARP攻击功能、ICMP防攻击，支持端口隔离、端口安全、Sticky MAC，支持IP/Port/MAC的绑定功能</w:t>
            </w:r>
          </w:p>
          <w:p w:rsidR="00A71637" w:rsidRDefault="00A71637">
            <w:pPr>
              <w:widowControl/>
              <w:jc w:val="left"/>
              <w:rPr>
                <w:rFonts w:ascii="宋体" w:hAnsi="宋体" w:cs="宋体"/>
                <w:kern w:val="0"/>
                <w:szCs w:val="21"/>
              </w:rPr>
            </w:pPr>
            <w:r>
              <w:rPr>
                <w:rFonts w:ascii="宋体" w:hAnsi="宋体" w:cs="宋体" w:hint="eastAsia"/>
                <w:kern w:val="0"/>
                <w:szCs w:val="21"/>
              </w:rPr>
              <w:t>10、支持CPU防攻击，提供权威第三方测试报告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11、支持DHCP Snooping、源地址认证SAVI等安全特性，提供权威第三方测试报告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12、支持G.8032开放环网协议，提供权威第三方测试报告</w:t>
            </w:r>
          </w:p>
          <w:p w:rsidR="00A71637" w:rsidRDefault="00A71637">
            <w:pPr>
              <w:widowControl/>
              <w:jc w:val="left"/>
              <w:rPr>
                <w:rFonts w:ascii="宋体" w:hAnsi="宋体" w:cs="宋体"/>
                <w:kern w:val="0"/>
                <w:szCs w:val="21"/>
              </w:rPr>
            </w:pPr>
            <w:r>
              <w:rPr>
                <w:rFonts w:ascii="宋体" w:hAnsi="宋体" w:cs="宋体" w:hint="eastAsia"/>
                <w:kern w:val="0"/>
                <w:szCs w:val="21"/>
              </w:rPr>
              <w:t>13、支持智能堆叠，堆叠后逻辑上虚拟为一台设备，具有统一的表项和管理，堆叠系统通过多台成员设备之间冗余备份</w:t>
            </w:r>
          </w:p>
          <w:p w:rsidR="00A71637" w:rsidRDefault="00A71637">
            <w:pPr>
              <w:widowControl/>
              <w:jc w:val="left"/>
              <w:rPr>
                <w:rFonts w:ascii="宋体" w:hAnsi="宋体" w:cs="宋体"/>
                <w:kern w:val="0"/>
                <w:szCs w:val="21"/>
              </w:rPr>
            </w:pPr>
            <w:r>
              <w:rPr>
                <w:rFonts w:ascii="宋体" w:hAnsi="宋体" w:cs="宋体" w:hint="eastAsia"/>
                <w:kern w:val="0"/>
                <w:szCs w:val="21"/>
              </w:rPr>
              <w:t>14、支持纵向虚拟化，作为纵向子节点零配置即插即用。</w:t>
            </w:r>
          </w:p>
          <w:p w:rsidR="00A71637" w:rsidRDefault="00A71637">
            <w:pPr>
              <w:widowControl/>
              <w:jc w:val="left"/>
              <w:rPr>
                <w:rFonts w:ascii="宋体" w:hAnsi="宋体" w:cs="宋体"/>
                <w:kern w:val="0"/>
                <w:szCs w:val="21"/>
              </w:rPr>
            </w:pPr>
            <w:r>
              <w:rPr>
                <w:rFonts w:ascii="宋体" w:hAnsi="宋体" w:cs="宋体" w:hint="eastAsia"/>
                <w:kern w:val="0"/>
                <w:szCs w:val="21"/>
              </w:rPr>
              <w:t>15、支持对端口接收报文速率和发送报文速率进行限制，支持SP、WRR、SP+WRR等队列调度算法</w:t>
            </w:r>
          </w:p>
          <w:p w:rsidR="00A71637" w:rsidRDefault="00A71637">
            <w:pPr>
              <w:widowControl/>
              <w:jc w:val="left"/>
              <w:rPr>
                <w:rFonts w:ascii="宋体" w:hAnsi="宋体" w:cs="宋体"/>
                <w:kern w:val="0"/>
                <w:szCs w:val="21"/>
              </w:rPr>
            </w:pPr>
            <w:r>
              <w:rPr>
                <w:rFonts w:ascii="宋体" w:hAnsi="宋体" w:cs="宋体" w:hint="eastAsia"/>
                <w:kern w:val="0"/>
                <w:szCs w:val="21"/>
              </w:rPr>
              <w:t>16、支持SNMP v1/v2/v3、Telnet、RMON，支持通过命令行、Web、中文图形化配置软件等方式进行配置和管理</w:t>
            </w:r>
          </w:p>
          <w:p w:rsidR="00A71637" w:rsidRDefault="00A71637">
            <w:pPr>
              <w:widowControl/>
              <w:jc w:val="left"/>
              <w:rPr>
                <w:rFonts w:ascii="宋体" w:hAnsi="宋体" w:cs="宋体"/>
                <w:strike/>
                <w:kern w:val="0"/>
                <w:szCs w:val="21"/>
              </w:rPr>
            </w:pPr>
            <w:r>
              <w:rPr>
                <w:rFonts w:ascii="宋体" w:hAnsi="宋体" w:cs="宋体" w:hint="eastAsia"/>
                <w:kern w:val="0"/>
                <w:szCs w:val="21"/>
              </w:rPr>
              <w:t>17、支持能效以太网EEE，节能环保，提供权威第三方测试报告</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lastRenderedPageBreak/>
              <w:t xml:space="preserve">台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10</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69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lastRenderedPageBreak/>
              <w:t>6</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配线架</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1.性能符合TIA/EIA568B六类标准中的连接件的要求，内含24个六类非屏蔽模块</w:t>
            </w:r>
            <w:r>
              <w:rPr>
                <w:rFonts w:ascii="宋体" w:hAnsi="宋体" w:cs="宋体" w:hint="eastAsia"/>
                <w:kern w:val="0"/>
                <w:szCs w:val="21"/>
              </w:rPr>
              <w:br/>
              <w:t>2.直接安装于19</w:t>
            </w:r>
            <w:proofErr w:type="gramStart"/>
            <w:r>
              <w:rPr>
                <w:rFonts w:ascii="宋体" w:hAnsi="宋体" w:cs="宋体" w:hint="eastAsia"/>
                <w:kern w:val="0"/>
                <w:szCs w:val="21"/>
              </w:rPr>
              <w:t>”</w:t>
            </w:r>
            <w:proofErr w:type="gramEnd"/>
            <w:r>
              <w:rPr>
                <w:rFonts w:ascii="宋体" w:hAnsi="宋体" w:cs="宋体" w:hint="eastAsia"/>
                <w:kern w:val="0"/>
                <w:szCs w:val="21"/>
              </w:rPr>
              <w:t>机架</w:t>
            </w:r>
          </w:p>
          <w:p w:rsidR="00A71637" w:rsidRDefault="00A71637">
            <w:pPr>
              <w:widowControl/>
              <w:jc w:val="left"/>
              <w:rPr>
                <w:rFonts w:ascii="宋体" w:hAnsi="宋体" w:cs="宋体"/>
                <w:kern w:val="0"/>
                <w:szCs w:val="21"/>
              </w:rPr>
            </w:pPr>
            <w:r>
              <w:rPr>
                <w:rFonts w:ascii="宋体" w:hAnsi="宋体" w:cs="宋体" w:hint="eastAsia"/>
                <w:kern w:val="0"/>
                <w:szCs w:val="21"/>
              </w:rPr>
              <w:t>3.背部理线托架配合尼龙扎带，为水平线</w:t>
            </w:r>
            <w:proofErr w:type="gramStart"/>
            <w:r>
              <w:rPr>
                <w:rFonts w:ascii="宋体" w:hAnsi="宋体" w:cs="宋体" w:hint="eastAsia"/>
                <w:kern w:val="0"/>
                <w:szCs w:val="21"/>
              </w:rPr>
              <w:t>缆</w:t>
            </w:r>
            <w:proofErr w:type="gramEnd"/>
            <w:r>
              <w:rPr>
                <w:rFonts w:ascii="宋体" w:hAnsi="宋体" w:cs="宋体" w:hint="eastAsia"/>
                <w:kern w:val="0"/>
                <w:szCs w:val="21"/>
              </w:rPr>
              <w:t>提供良好的保护</w:t>
            </w:r>
            <w:r>
              <w:rPr>
                <w:rFonts w:ascii="宋体" w:hAnsi="宋体" w:cs="宋体" w:hint="eastAsia"/>
                <w:kern w:val="0"/>
                <w:szCs w:val="21"/>
              </w:rPr>
              <w:br/>
              <w:t>4.柔性卡接设计，卡接23--26AWG规格导体，拔插次数大于1000次</w:t>
            </w:r>
            <w:r>
              <w:rPr>
                <w:rFonts w:ascii="宋体" w:hAnsi="宋体" w:cs="宋体" w:hint="eastAsia"/>
                <w:kern w:val="0"/>
                <w:szCs w:val="21"/>
              </w:rPr>
              <w:br/>
              <w:t>5.端口ID动态标记，几乎无限点标示能力</w:t>
            </w:r>
            <w:r>
              <w:rPr>
                <w:rFonts w:ascii="宋体" w:hAnsi="宋体" w:cs="宋体" w:hint="eastAsia"/>
                <w:kern w:val="0"/>
                <w:szCs w:val="21"/>
              </w:rPr>
              <w:br/>
            </w:r>
            <w:r>
              <w:rPr>
                <w:rFonts w:ascii="宋体" w:hAnsi="宋体" w:cs="宋体" w:hint="eastAsia"/>
                <w:kern w:val="0"/>
                <w:szCs w:val="21"/>
              </w:rPr>
              <w:lastRenderedPageBreak/>
              <w:t>6.每个端口都有加装LED显示,时时监控端口的运行状态,迅速进行故障判断定位</w:t>
            </w:r>
          </w:p>
          <w:p w:rsidR="00A71637" w:rsidRDefault="00A71637">
            <w:pPr>
              <w:widowControl/>
              <w:jc w:val="left"/>
              <w:rPr>
                <w:rFonts w:ascii="宋体" w:hAnsi="宋体" w:cs="宋体"/>
                <w:color w:val="0070C0"/>
                <w:kern w:val="0"/>
                <w:szCs w:val="21"/>
              </w:rPr>
            </w:pPr>
            <w:r>
              <w:rPr>
                <w:rFonts w:ascii="宋体" w:hAnsi="宋体" w:cs="宋体" w:hint="eastAsia"/>
                <w:kern w:val="0"/>
                <w:szCs w:val="21"/>
              </w:rPr>
              <w:t>7.性能符合GB/T50312-2016《综合布线系统工程验收规范》的测试（以获得CNAS认证的第三方权威检测中心出具的有效检验报告为准，提供证明文件复印件）。</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lastRenderedPageBreak/>
              <w:t xml:space="preserve">套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29</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120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lastRenderedPageBreak/>
              <w:t>7</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配线架</w:t>
            </w:r>
          </w:p>
        </w:tc>
        <w:tc>
          <w:tcPr>
            <w:tcW w:w="2268" w:type="pct"/>
            <w:shd w:val="clear" w:color="auto" w:fill="auto"/>
          </w:tcPr>
          <w:p w:rsidR="00A71637" w:rsidRDefault="00A71637">
            <w:pPr>
              <w:widowControl/>
              <w:jc w:val="left"/>
              <w:rPr>
                <w:rFonts w:ascii="宋体" w:hAnsi="宋体" w:cs="宋体"/>
                <w:kern w:val="0"/>
                <w:szCs w:val="21"/>
              </w:rPr>
            </w:pPr>
            <w:r>
              <w:rPr>
                <w:rFonts w:ascii="宋体" w:hAnsi="宋体" w:cs="宋体" w:hint="eastAsia"/>
                <w:kern w:val="0"/>
                <w:szCs w:val="21"/>
              </w:rPr>
              <w:t>24口光纤配线架(含所有配件、附件）19</w:t>
            </w:r>
            <w:proofErr w:type="gramStart"/>
            <w:r>
              <w:rPr>
                <w:rFonts w:ascii="宋体" w:hAnsi="宋体" w:cs="宋体" w:hint="eastAsia"/>
                <w:kern w:val="0"/>
                <w:szCs w:val="21"/>
              </w:rPr>
              <w:t>”</w:t>
            </w:r>
            <w:proofErr w:type="gramEnd"/>
            <w:r>
              <w:rPr>
                <w:rFonts w:ascii="宋体" w:hAnsi="宋体" w:cs="宋体" w:hint="eastAsia"/>
                <w:kern w:val="0"/>
                <w:szCs w:val="21"/>
              </w:rPr>
              <w:t>机架式，抽屉式，含熔接盘；含24个耦合器，灵活的连接器面板，可选SC，ST，FC或LC型耦合器，适用于单模和多模，耦合器采用高精度氧化锆陶瓷套管</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套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11</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120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8</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配线架</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12口光纤配线架(含所有配件、附件）19</w:t>
            </w:r>
            <w:proofErr w:type="gramStart"/>
            <w:r>
              <w:rPr>
                <w:rFonts w:ascii="宋体" w:hAnsi="宋体" w:cs="宋体" w:hint="eastAsia"/>
                <w:kern w:val="0"/>
                <w:szCs w:val="21"/>
              </w:rPr>
              <w:t>”</w:t>
            </w:r>
            <w:proofErr w:type="gramEnd"/>
            <w:r>
              <w:rPr>
                <w:rFonts w:ascii="宋体" w:hAnsi="宋体" w:cs="宋体" w:hint="eastAsia"/>
                <w:kern w:val="0"/>
                <w:szCs w:val="21"/>
              </w:rPr>
              <w:t>机架式，抽屉式，含熔接盘；含12个耦合器，灵活的连接器面板，可选SC，ST，FC或LC型耦合器，适用于单模和多模，耦合器采用高精度氧化锆陶瓷套管</w:t>
            </w:r>
          </w:p>
        </w:tc>
        <w:tc>
          <w:tcPr>
            <w:tcW w:w="346"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套 </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11</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54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9</w:t>
            </w:r>
          </w:p>
        </w:tc>
        <w:tc>
          <w:tcPr>
            <w:tcW w:w="596" w:type="pct"/>
            <w:shd w:val="clear" w:color="000000" w:fill="FFFFFF"/>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理线架</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1U单面水平</w:t>
            </w:r>
            <w:proofErr w:type="gramStart"/>
            <w:r>
              <w:rPr>
                <w:rFonts w:ascii="宋体" w:hAnsi="宋体" w:cs="宋体" w:hint="eastAsia"/>
                <w:kern w:val="0"/>
                <w:szCs w:val="21"/>
              </w:rPr>
              <w:t>理线器</w:t>
            </w:r>
            <w:proofErr w:type="gramEnd"/>
          </w:p>
        </w:tc>
        <w:tc>
          <w:tcPr>
            <w:tcW w:w="346" w:type="pct"/>
            <w:shd w:val="clear" w:color="000000" w:fill="FFFFFF"/>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套 </w:t>
            </w:r>
          </w:p>
        </w:tc>
        <w:tc>
          <w:tcPr>
            <w:tcW w:w="368" w:type="pct"/>
            <w:shd w:val="clear" w:color="000000" w:fill="FFFFFF"/>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51</w:t>
            </w:r>
          </w:p>
        </w:tc>
        <w:tc>
          <w:tcPr>
            <w:tcW w:w="465" w:type="pct"/>
            <w:shd w:val="clear" w:color="000000" w:fill="FFFFFF"/>
            <w:vAlign w:val="center"/>
          </w:tcPr>
          <w:p w:rsidR="00A71637" w:rsidRDefault="00A71637" w:rsidP="00A71637">
            <w:pPr>
              <w:widowControl/>
              <w:jc w:val="center"/>
              <w:rPr>
                <w:rFonts w:ascii="宋体" w:hAnsi="宋体" w:cs="宋体" w:hint="eastAsia"/>
                <w:kern w:val="0"/>
                <w:szCs w:val="21"/>
              </w:rPr>
            </w:pPr>
          </w:p>
        </w:tc>
        <w:tc>
          <w:tcPr>
            <w:tcW w:w="611" w:type="pct"/>
            <w:shd w:val="clear" w:color="000000" w:fill="FFFFFF"/>
            <w:vAlign w:val="center"/>
          </w:tcPr>
          <w:p w:rsidR="00A71637" w:rsidRDefault="00A71637" w:rsidP="00A71637">
            <w:pPr>
              <w:widowControl/>
              <w:jc w:val="center"/>
              <w:rPr>
                <w:rFonts w:ascii="宋体" w:hAnsi="宋体" w:cs="宋体" w:hint="eastAsia"/>
                <w:kern w:val="0"/>
                <w:szCs w:val="21"/>
              </w:rPr>
            </w:pPr>
          </w:p>
        </w:tc>
      </w:tr>
      <w:tr w:rsidR="00A71637" w:rsidTr="00A71637">
        <w:trPr>
          <w:trHeight w:val="436"/>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10</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六类非屏蔽双绞线</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1.完全符合TIA/EIA-568-B-2.1和ISO/IEC11801 规范对于六类线缆的要求；</w:t>
            </w:r>
            <w:r>
              <w:rPr>
                <w:rFonts w:ascii="宋体" w:hAnsi="宋体" w:cs="宋体" w:hint="eastAsia"/>
                <w:kern w:val="0"/>
                <w:szCs w:val="21"/>
              </w:rPr>
              <w:br/>
              <w:t>2.支持千兆以太网（1000 Base-T 和 1000 Base-TX）及 向下兼容其它应用；</w:t>
            </w:r>
            <w:r>
              <w:rPr>
                <w:rFonts w:ascii="宋体" w:hAnsi="宋体" w:cs="宋体" w:hint="eastAsia"/>
                <w:kern w:val="0"/>
                <w:szCs w:val="21"/>
              </w:rPr>
              <w:br/>
              <w:t>3.在衰减、近端串扰衰减、结构回波损耗、近端串扰衰减与衰减比的技术参数上符合最新六类国际标准；</w:t>
            </w:r>
            <w:r>
              <w:rPr>
                <w:rFonts w:ascii="宋体" w:hAnsi="宋体" w:cs="宋体" w:hint="eastAsia"/>
                <w:kern w:val="0"/>
                <w:szCs w:val="21"/>
              </w:rPr>
              <w:br/>
              <w:t>4.线缆中心采用十字芯骨架，最大程度上保证安装过程中不破坏双绞线绞距从而提供更大的传输带宽和传输速率；</w:t>
            </w:r>
            <w:r>
              <w:rPr>
                <w:rFonts w:ascii="宋体" w:hAnsi="宋体" w:cs="宋体" w:hint="eastAsia"/>
                <w:kern w:val="0"/>
                <w:szCs w:val="21"/>
              </w:rPr>
              <w:br/>
              <w:t>5.带宽：保证250MHz下测试符合最新六类国际标准；</w:t>
            </w:r>
          </w:p>
          <w:p w:rsidR="00A71637" w:rsidRDefault="00A71637">
            <w:pPr>
              <w:widowControl/>
              <w:jc w:val="left"/>
              <w:rPr>
                <w:rFonts w:ascii="宋体" w:hAnsi="宋体" w:cs="宋体"/>
                <w:kern w:val="0"/>
                <w:szCs w:val="21"/>
              </w:rPr>
            </w:pPr>
            <w:r>
              <w:rPr>
                <w:rFonts w:ascii="宋体" w:hAnsi="宋体" w:cs="宋体" w:hint="eastAsia"/>
                <w:kern w:val="0"/>
                <w:szCs w:val="21"/>
              </w:rPr>
              <w:t>6.产品</w:t>
            </w:r>
            <w:proofErr w:type="gramStart"/>
            <w:r>
              <w:rPr>
                <w:rFonts w:ascii="宋体" w:hAnsi="宋体" w:cs="宋体" w:hint="eastAsia"/>
                <w:kern w:val="0"/>
                <w:szCs w:val="21"/>
              </w:rPr>
              <w:t>采用低烟无卤</w:t>
            </w:r>
            <w:proofErr w:type="gramEnd"/>
            <w:r>
              <w:rPr>
                <w:rFonts w:ascii="宋体" w:hAnsi="宋体" w:cs="宋体" w:hint="eastAsia"/>
                <w:kern w:val="0"/>
                <w:szCs w:val="21"/>
              </w:rPr>
              <w:t>外护套，性能符合GB/T17650.2-1998卤素（PH值）的要求，同时符合GB/T17651.2-1998烟密度要求和GB/T18380.35-2008燃烧性能要求（</w:t>
            </w:r>
            <w:r>
              <w:rPr>
                <w:rFonts w:hint="eastAsia"/>
              </w:rPr>
              <w:t>以获得</w:t>
            </w:r>
            <w:r>
              <w:rPr>
                <w:rFonts w:hint="eastAsia"/>
              </w:rPr>
              <w:t>CNAS</w:t>
            </w:r>
            <w:r>
              <w:rPr>
                <w:rFonts w:hint="eastAsia"/>
              </w:rPr>
              <w:t>认证的第三方权威检测中心出具的有效检验报告为准，提供证明文件复印件。</w:t>
            </w:r>
            <w:r>
              <w:rPr>
                <w:rFonts w:ascii="宋体" w:hAnsi="宋体" w:cs="宋体" w:hint="eastAsia"/>
                <w:kern w:val="0"/>
                <w:szCs w:val="21"/>
              </w:rPr>
              <w:t>）</w:t>
            </w:r>
          </w:p>
        </w:tc>
        <w:tc>
          <w:tcPr>
            <w:tcW w:w="346" w:type="pct"/>
            <w:shd w:val="clear" w:color="000000" w:fill="FFFFFF"/>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米 </w:t>
            </w:r>
          </w:p>
        </w:tc>
        <w:tc>
          <w:tcPr>
            <w:tcW w:w="368" w:type="pct"/>
            <w:shd w:val="clear" w:color="000000" w:fill="FFFFFF"/>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6500</w:t>
            </w:r>
          </w:p>
        </w:tc>
        <w:tc>
          <w:tcPr>
            <w:tcW w:w="465" w:type="pct"/>
            <w:shd w:val="clear" w:color="000000" w:fill="FFFFFF"/>
            <w:vAlign w:val="center"/>
          </w:tcPr>
          <w:p w:rsidR="00A71637" w:rsidRDefault="00A71637" w:rsidP="00A71637">
            <w:pPr>
              <w:widowControl/>
              <w:jc w:val="center"/>
              <w:rPr>
                <w:rFonts w:ascii="宋体" w:hAnsi="宋体" w:cs="宋体" w:hint="eastAsia"/>
                <w:kern w:val="0"/>
                <w:szCs w:val="21"/>
              </w:rPr>
            </w:pPr>
          </w:p>
        </w:tc>
        <w:tc>
          <w:tcPr>
            <w:tcW w:w="611" w:type="pct"/>
            <w:shd w:val="clear" w:color="000000" w:fill="FFFFFF"/>
            <w:vAlign w:val="center"/>
          </w:tcPr>
          <w:p w:rsidR="00A71637" w:rsidRDefault="00A71637" w:rsidP="00A71637">
            <w:pPr>
              <w:widowControl/>
              <w:jc w:val="center"/>
              <w:rPr>
                <w:rFonts w:ascii="宋体" w:hAnsi="宋体" w:cs="宋体" w:hint="eastAsia"/>
                <w:kern w:val="0"/>
                <w:szCs w:val="21"/>
              </w:rPr>
            </w:pPr>
          </w:p>
        </w:tc>
      </w:tr>
      <w:tr w:rsidR="00A71637" w:rsidTr="00A71637">
        <w:trPr>
          <w:trHeight w:val="993"/>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11</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光缆</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12芯室内万兆多模光纤 纤芯直径：50±2.5um，支持10Gbps传输最高达550米，在850nm情况下衰减为小于2.5dB/km，并提供带宽大于500MHz/km</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米</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600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72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12</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光纤跳线</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多模光纤尾</w:t>
            </w:r>
            <w:proofErr w:type="gramStart"/>
            <w:r>
              <w:rPr>
                <w:rFonts w:ascii="宋体" w:hAnsi="宋体" w:cs="宋体" w:hint="eastAsia"/>
                <w:kern w:val="0"/>
                <w:szCs w:val="21"/>
              </w:rPr>
              <w:t>纤</w:t>
            </w:r>
            <w:proofErr w:type="gramEnd"/>
            <w:r>
              <w:rPr>
                <w:rFonts w:ascii="宋体" w:hAnsi="宋体" w:cs="宋体" w:hint="eastAsia"/>
                <w:kern w:val="0"/>
                <w:szCs w:val="21"/>
              </w:rPr>
              <w:t xml:space="preserve"> 连接器采用高密度陶瓷芯，采用高密度的连接方式，3m</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条</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240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675"/>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lastRenderedPageBreak/>
              <w:t>13</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光纤连接</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多模光纤熔接</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芯</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960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439"/>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14</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电气配线</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线槽配线 ZR-RVV-3*6mm2</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米</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200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439"/>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15</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接地装置</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接地跨接线安装构架接地连接线BVR6mm2</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米</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100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val="480"/>
          <w:jc w:val="center"/>
        </w:trPr>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16</w:t>
            </w:r>
          </w:p>
        </w:tc>
        <w:tc>
          <w:tcPr>
            <w:tcW w:w="596"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场地监控系统对接</w:t>
            </w:r>
          </w:p>
        </w:tc>
        <w:tc>
          <w:tcPr>
            <w:tcW w:w="2268" w:type="pct"/>
            <w:shd w:val="clear" w:color="auto" w:fill="auto"/>
            <w:vAlign w:val="center"/>
          </w:tcPr>
          <w:p w:rsidR="00A71637" w:rsidRDefault="00A71637">
            <w:pPr>
              <w:widowControl/>
              <w:jc w:val="left"/>
              <w:rPr>
                <w:rFonts w:ascii="宋体" w:hAnsi="宋体" w:cs="宋体"/>
                <w:kern w:val="0"/>
                <w:szCs w:val="21"/>
              </w:rPr>
            </w:pPr>
            <w:r>
              <w:rPr>
                <w:rFonts w:ascii="宋体" w:hAnsi="宋体" w:cs="宋体" w:hint="eastAsia"/>
                <w:kern w:val="0"/>
                <w:szCs w:val="21"/>
              </w:rPr>
              <w:t>电源</w:t>
            </w:r>
            <w:proofErr w:type="gramStart"/>
            <w:r>
              <w:rPr>
                <w:rFonts w:ascii="宋体" w:hAnsi="宋体" w:cs="宋体" w:hint="eastAsia"/>
                <w:kern w:val="0"/>
                <w:szCs w:val="21"/>
              </w:rPr>
              <w:t>列头柜及</w:t>
            </w:r>
            <w:proofErr w:type="gramEnd"/>
            <w:r>
              <w:rPr>
                <w:rFonts w:ascii="宋体" w:hAnsi="宋体" w:cs="宋体" w:hint="eastAsia"/>
                <w:kern w:val="0"/>
                <w:szCs w:val="21"/>
              </w:rPr>
              <w:t>PDU监测，并入原机房建设的信息流监控平台软件V6.0</w:t>
            </w:r>
          </w:p>
        </w:tc>
        <w:tc>
          <w:tcPr>
            <w:tcW w:w="346" w:type="pct"/>
            <w:shd w:val="clear" w:color="auto" w:fill="auto"/>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套</w:t>
            </w:r>
          </w:p>
        </w:tc>
        <w:tc>
          <w:tcPr>
            <w:tcW w:w="368" w:type="pct"/>
            <w:shd w:val="clear" w:color="auto" w:fill="auto"/>
            <w:noWrap/>
            <w:vAlign w:val="center"/>
          </w:tcPr>
          <w:p w:rsidR="00A71637" w:rsidRDefault="00A71637">
            <w:pPr>
              <w:widowControl/>
              <w:jc w:val="center"/>
              <w:rPr>
                <w:rFonts w:ascii="宋体" w:hAnsi="宋体" w:cs="宋体"/>
                <w:kern w:val="0"/>
                <w:szCs w:val="21"/>
              </w:rPr>
            </w:pPr>
            <w:r>
              <w:rPr>
                <w:rFonts w:ascii="宋体" w:hAnsi="宋体" w:cs="宋体" w:hint="eastAsia"/>
                <w:kern w:val="0"/>
                <w:szCs w:val="21"/>
              </w:rPr>
              <w:t xml:space="preserve">1 </w:t>
            </w:r>
          </w:p>
        </w:tc>
        <w:tc>
          <w:tcPr>
            <w:tcW w:w="465" w:type="pct"/>
            <w:vAlign w:val="center"/>
          </w:tcPr>
          <w:p w:rsidR="00A71637" w:rsidRDefault="00A71637" w:rsidP="00A71637">
            <w:pPr>
              <w:widowControl/>
              <w:jc w:val="center"/>
              <w:rPr>
                <w:rFonts w:ascii="宋体" w:hAnsi="宋体" w:cs="宋体" w:hint="eastAsia"/>
                <w:kern w:val="0"/>
                <w:szCs w:val="21"/>
              </w:rPr>
            </w:pPr>
          </w:p>
        </w:tc>
        <w:tc>
          <w:tcPr>
            <w:tcW w:w="611" w:type="pct"/>
            <w:vAlign w:val="center"/>
          </w:tcPr>
          <w:p w:rsidR="00A71637" w:rsidRDefault="00A71637" w:rsidP="00A71637">
            <w:pPr>
              <w:widowControl/>
              <w:jc w:val="center"/>
              <w:rPr>
                <w:rFonts w:ascii="宋体" w:hAnsi="宋体" w:cs="宋体" w:hint="eastAsia"/>
                <w:kern w:val="0"/>
                <w:szCs w:val="21"/>
              </w:rPr>
            </w:pPr>
          </w:p>
        </w:tc>
      </w:tr>
      <w:tr w:rsidR="00A71637" w:rsidTr="00A71637">
        <w:trPr>
          <w:trHeight w:hRule="exact" w:val="567"/>
          <w:jc w:val="center"/>
        </w:trPr>
        <w:tc>
          <w:tcPr>
            <w:tcW w:w="3210" w:type="pct"/>
            <w:gridSpan w:val="3"/>
            <w:shd w:val="clear" w:color="auto" w:fill="auto"/>
            <w:vAlign w:val="center"/>
          </w:tcPr>
          <w:p w:rsidR="00A71637" w:rsidRPr="00A71637" w:rsidRDefault="00A71637" w:rsidP="00A71637">
            <w:pPr>
              <w:widowControl/>
              <w:jc w:val="center"/>
              <w:rPr>
                <w:rFonts w:ascii="宋体" w:hAnsi="宋体" w:cs="宋体" w:hint="eastAsia"/>
                <w:b/>
                <w:kern w:val="0"/>
                <w:szCs w:val="21"/>
              </w:rPr>
            </w:pPr>
            <w:r w:rsidRPr="00A71637">
              <w:rPr>
                <w:rFonts w:ascii="宋体" w:hAnsi="宋体" w:cs="宋体" w:hint="eastAsia"/>
                <w:b/>
                <w:kern w:val="0"/>
                <w:szCs w:val="21"/>
              </w:rPr>
              <w:t>合计</w:t>
            </w:r>
          </w:p>
        </w:tc>
        <w:tc>
          <w:tcPr>
            <w:tcW w:w="1790" w:type="pct"/>
            <w:gridSpan w:val="4"/>
            <w:shd w:val="clear" w:color="auto" w:fill="auto"/>
            <w:vAlign w:val="center"/>
          </w:tcPr>
          <w:p w:rsidR="00A71637" w:rsidRDefault="00A71637" w:rsidP="00A71637">
            <w:pPr>
              <w:widowControl/>
              <w:jc w:val="center"/>
              <w:rPr>
                <w:rFonts w:ascii="宋体" w:hAnsi="宋体" w:cs="宋体" w:hint="eastAsia"/>
                <w:kern w:val="0"/>
                <w:szCs w:val="21"/>
              </w:rPr>
            </w:pPr>
          </w:p>
        </w:tc>
      </w:tr>
      <w:tr w:rsidR="00A71637" w:rsidTr="00A71637">
        <w:trPr>
          <w:trHeight w:hRule="exact" w:val="567"/>
          <w:jc w:val="center"/>
        </w:trPr>
        <w:tc>
          <w:tcPr>
            <w:tcW w:w="3210" w:type="pct"/>
            <w:gridSpan w:val="3"/>
            <w:shd w:val="clear" w:color="auto" w:fill="auto"/>
            <w:vAlign w:val="center"/>
          </w:tcPr>
          <w:p w:rsidR="00A71637" w:rsidRPr="00A71637" w:rsidRDefault="00A71637" w:rsidP="00A71637">
            <w:pPr>
              <w:widowControl/>
              <w:jc w:val="center"/>
              <w:rPr>
                <w:rFonts w:ascii="宋体" w:hAnsi="宋体" w:cs="宋体" w:hint="eastAsia"/>
                <w:b/>
                <w:kern w:val="0"/>
                <w:szCs w:val="21"/>
              </w:rPr>
            </w:pPr>
            <w:r w:rsidRPr="00A71637">
              <w:rPr>
                <w:rFonts w:ascii="宋体" w:hAnsi="宋体" w:cs="宋体" w:hint="eastAsia"/>
                <w:b/>
                <w:kern w:val="0"/>
                <w:szCs w:val="21"/>
              </w:rPr>
              <w:t>优惠总价</w:t>
            </w:r>
          </w:p>
        </w:tc>
        <w:tc>
          <w:tcPr>
            <w:tcW w:w="1790" w:type="pct"/>
            <w:gridSpan w:val="4"/>
            <w:shd w:val="clear" w:color="auto" w:fill="auto"/>
            <w:vAlign w:val="center"/>
          </w:tcPr>
          <w:p w:rsidR="00A71637" w:rsidRDefault="00A71637" w:rsidP="00A71637">
            <w:pPr>
              <w:widowControl/>
              <w:jc w:val="center"/>
              <w:rPr>
                <w:rFonts w:ascii="宋体" w:hAnsi="宋体" w:cs="宋体" w:hint="eastAsia"/>
                <w:kern w:val="0"/>
                <w:szCs w:val="21"/>
              </w:rPr>
            </w:pPr>
          </w:p>
        </w:tc>
      </w:tr>
    </w:tbl>
    <w:p w:rsidR="00ED3FF2" w:rsidRDefault="001201F7" w:rsidP="00276EF4">
      <w:pPr>
        <w:pStyle w:val="a0"/>
        <w:ind w:firstLine="482"/>
        <w:rPr>
          <w:b/>
        </w:rPr>
      </w:pPr>
      <w:r>
        <w:rPr>
          <w:rFonts w:ascii="宋体" w:hAnsi="宋体" w:cs="宋体" w:hint="eastAsia"/>
          <w:b/>
          <w:bCs/>
          <w:szCs w:val="24"/>
        </w:rPr>
        <w:t>★为了保障系统的安全性和可靠性，</w:t>
      </w:r>
      <w:r>
        <w:rPr>
          <w:rFonts w:hint="eastAsia"/>
          <w:b/>
        </w:rPr>
        <w:t>本次新增</w:t>
      </w:r>
      <w:r>
        <w:rPr>
          <w:b/>
        </w:rPr>
        <w:t>场地监控系统</w:t>
      </w:r>
      <w:r>
        <w:rPr>
          <w:rFonts w:hint="eastAsia"/>
          <w:b/>
        </w:rPr>
        <w:t>必须</w:t>
      </w:r>
      <w:r>
        <w:rPr>
          <w:b/>
        </w:rPr>
        <w:t>与</w:t>
      </w:r>
      <w:r>
        <w:rPr>
          <w:rFonts w:hint="eastAsia"/>
          <w:b/>
        </w:rPr>
        <w:t>原</w:t>
      </w:r>
      <w:r>
        <w:rPr>
          <w:b/>
        </w:rPr>
        <w:t>机房已经建设的场地监控系统无缝对接</w:t>
      </w:r>
      <w:r>
        <w:rPr>
          <w:rFonts w:hint="eastAsia"/>
          <w:b/>
        </w:rPr>
        <w:t>，投标人对此</w:t>
      </w:r>
      <w:proofErr w:type="gramStart"/>
      <w:r>
        <w:rPr>
          <w:rFonts w:hint="eastAsia"/>
          <w:b/>
        </w:rPr>
        <w:t>作出</w:t>
      </w:r>
      <w:proofErr w:type="gramEnd"/>
      <w:r>
        <w:rPr>
          <w:rFonts w:hint="eastAsia"/>
          <w:b/>
        </w:rPr>
        <w:t>书面承诺，未提供承诺的作为未实</w:t>
      </w:r>
      <w:r>
        <w:rPr>
          <w:rFonts w:hint="eastAsia"/>
          <w:b/>
        </w:rPr>
        <w:t>质响应招标文件处理。</w:t>
      </w:r>
    </w:p>
    <w:p w:rsidR="00ED3FF2" w:rsidRDefault="001201F7">
      <w:pPr>
        <w:pStyle w:val="a0"/>
        <w:ind w:firstLine="482"/>
        <w:rPr>
          <w:b/>
        </w:rPr>
      </w:pPr>
      <w:r>
        <w:rPr>
          <w:rFonts w:ascii="宋体" w:hAnsi="宋体" w:cs="宋体" w:hint="eastAsia"/>
          <w:b/>
          <w:bCs/>
          <w:szCs w:val="24"/>
        </w:rPr>
        <w:t>★为了</w:t>
      </w:r>
      <w:r>
        <w:rPr>
          <w:rFonts w:ascii="宋体" w:hAnsi="宋体" w:hint="eastAsia"/>
          <w:b/>
          <w:szCs w:val="24"/>
        </w:rPr>
        <w:t>满足中国国内现行使用的综合布线设计规范</w:t>
      </w:r>
      <w:r>
        <w:rPr>
          <w:rFonts w:ascii="宋体" w:hAnsi="宋体" w:hint="eastAsia"/>
          <w:b/>
          <w:szCs w:val="24"/>
        </w:rPr>
        <w:t>GB 50311-2016</w:t>
      </w:r>
      <w:r>
        <w:rPr>
          <w:rFonts w:ascii="宋体" w:hAnsi="宋体" w:hint="eastAsia"/>
          <w:b/>
          <w:szCs w:val="24"/>
        </w:rPr>
        <w:t>和综合布线工程验收规范</w:t>
      </w:r>
      <w:r>
        <w:rPr>
          <w:rFonts w:ascii="宋体" w:hAnsi="宋体" w:hint="eastAsia"/>
          <w:b/>
          <w:szCs w:val="24"/>
        </w:rPr>
        <w:t xml:space="preserve"> GB 50312-2016</w:t>
      </w:r>
      <w:r>
        <w:rPr>
          <w:rFonts w:ascii="宋体" w:hAnsi="宋体" w:cs="宋体" w:hint="eastAsia"/>
          <w:b/>
          <w:bCs/>
          <w:szCs w:val="24"/>
        </w:rPr>
        <w:t>保障系统的安全性和可靠性，</w:t>
      </w:r>
      <w:r>
        <w:rPr>
          <w:rFonts w:ascii="宋体" w:hAnsi="宋体" w:hint="eastAsia"/>
          <w:b/>
          <w:szCs w:val="24"/>
        </w:rPr>
        <w:t>所有综合布线的信息点及光纤点要求</w:t>
      </w:r>
      <w:r>
        <w:rPr>
          <w:rFonts w:ascii="宋体" w:hAnsi="宋体" w:hint="eastAsia"/>
          <w:b/>
          <w:szCs w:val="24"/>
        </w:rPr>
        <w:t>100%</w:t>
      </w:r>
      <w:r>
        <w:rPr>
          <w:rFonts w:ascii="宋体" w:hAnsi="宋体" w:hint="eastAsia"/>
          <w:b/>
          <w:szCs w:val="24"/>
        </w:rPr>
        <w:t>进行</w:t>
      </w:r>
      <w:proofErr w:type="gramStart"/>
      <w:r>
        <w:rPr>
          <w:rFonts w:ascii="宋体" w:hAnsi="宋体" w:hint="eastAsia"/>
          <w:b/>
          <w:szCs w:val="24"/>
        </w:rPr>
        <w:t>福禄克测试</w:t>
      </w:r>
      <w:proofErr w:type="gramEnd"/>
      <w:r>
        <w:rPr>
          <w:rFonts w:ascii="宋体" w:hAnsi="宋体" w:hint="eastAsia"/>
          <w:b/>
          <w:szCs w:val="24"/>
        </w:rPr>
        <w:t>设备测试，点测试合格率须保证</w:t>
      </w:r>
      <w:r>
        <w:rPr>
          <w:rFonts w:ascii="宋体" w:hAnsi="宋体" w:hint="eastAsia"/>
          <w:b/>
          <w:szCs w:val="24"/>
        </w:rPr>
        <w:t>100%</w:t>
      </w:r>
      <w:r>
        <w:rPr>
          <w:rFonts w:ascii="宋体" w:hAnsi="宋体" w:hint="eastAsia"/>
          <w:b/>
          <w:szCs w:val="24"/>
        </w:rPr>
        <w:t>，且所有各项指标应在规范及标准要求的范围内</w:t>
      </w:r>
      <w:r>
        <w:rPr>
          <w:rFonts w:ascii="宋体" w:hAnsi="宋体" w:hint="eastAsia"/>
          <w:szCs w:val="24"/>
        </w:rPr>
        <w:t>。</w:t>
      </w:r>
      <w:r>
        <w:rPr>
          <w:rFonts w:ascii="宋体" w:hAnsi="宋体" w:cs="宋体" w:hint="eastAsia"/>
          <w:b/>
          <w:bCs/>
          <w:szCs w:val="24"/>
        </w:rPr>
        <w:t>在验收时必须提供</w:t>
      </w:r>
      <w:proofErr w:type="gramStart"/>
      <w:r>
        <w:rPr>
          <w:rFonts w:ascii="宋体" w:hAnsi="宋体" w:cs="宋体" w:hint="eastAsia"/>
          <w:b/>
          <w:bCs/>
          <w:szCs w:val="24"/>
        </w:rPr>
        <w:t>福禄克测试报告</w:t>
      </w:r>
      <w:proofErr w:type="gramEnd"/>
      <w:r>
        <w:rPr>
          <w:rFonts w:ascii="宋体" w:hAnsi="宋体" w:cs="宋体" w:hint="eastAsia"/>
          <w:b/>
          <w:bCs/>
          <w:szCs w:val="24"/>
        </w:rPr>
        <w:t>，</w:t>
      </w:r>
      <w:r>
        <w:rPr>
          <w:rFonts w:hint="eastAsia"/>
          <w:b/>
        </w:rPr>
        <w:t>投标人对此</w:t>
      </w:r>
      <w:proofErr w:type="gramStart"/>
      <w:r>
        <w:rPr>
          <w:rFonts w:hint="eastAsia"/>
          <w:b/>
        </w:rPr>
        <w:t>作出</w:t>
      </w:r>
      <w:proofErr w:type="gramEnd"/>
      <w:r>
        <w:rPr>
          <w:rFonts w:hint="eastAsia"/>
          <w:b/>
        </w:rPr>
        <w:t>书面承诺，未提供承诺的作为未实质响应招标文件处理。</w:t>
      </w:r>
      <w:bookmarkStart w:id="16" w:name="_GoBack"/>
      <w:bookmarkEnd w:id="16"/>
    </w:p>
    <w:sectPr w:rsidR="00ED3F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F7" w:rsidRDefault="001201F7">
      <w:r>
        <w:separator/>
      </w:r>
    </w:p>
  </w:endnote>
  <w:endnote w:type="continuationSeparator" w:id="0">
    <w:p w:rsidR="001201F7" w:rsidRDefault="0012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623123"/>
    </w:sdtPr>
    <w:sdtEndPr/>
    <w:sdtContent>
      <w:p w:rsidR="00ED3FF2" w:rsidRDefault="001201F7">
        <w:pPr>
          <w:pStyle w:val="a4"/>
          <w:jc w:val="center"/>
        </w:pPr>
        <w:r>
          <w:fldChar w:fldCharType="begin"/>
        </w:r>
        <w:r>
          <w:instrText>PAGE   \* MERGEFORMAT</w:instrText>
        </w:r>
        <w:r>
          <w:fldChar w:fldCharType="separate"/>
        </w:r>
        <w:r w:rsidR="00A71637" w:rsidRPr="00A71637">
          <w:rPr>
            <w:noProof/>
            <w:lang w:val="zh-CN"/>
          </w:rPr>
          <w:t>5</w:t>
        </w:r>
        <w:r>
          <w:fldChar w:fldCharType="end"/>
        </w:r>
      </w:p>
    </w:sdtContent>
  </w:sdt>
  <w:p w:rsidR="00ED3FF2" w:rsidRDefault="00ED3F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F7" w:rsidRDefault="001201F7">
      <w:r>
        <w:separator/>
      </w:r>
    </w:p>
  </w:footnote>
  <w:footnote w:type="continuationSeparator" w:id="0">
    <w:p w:rsidR="001201F7" w:rsidRDefault="00120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287B"/>
    <w:multiLevelType w:val="multilevel"/>
    <w:tmpl w:val="2460287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4C550B2"/>
    <w:multiLevelType w:val="multilevel"/>
    <w:tmpl w:val="24C550B2"/>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270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D6C3DE3"/>
    <w:multiLevelType w:val="hybridMultilevel"/>
    <w:tmpl w:val="F5346338"/>
    <w:lvl w:ilvl="0" w:tplc="98185B4C">
      <w:start w:val="1"/>
      <w:numFmt w:val="chineseCountingThousand"/>
      <w:suff w:val="nothing"/>
      <w:lvlText w:val="%1、"/>
      <w:lvlJc w:val="left"/>
      <w:pPr>
        <w:ind w:left="0" w:firstLine="550"/>
      </w:pPr>
      <w:rPr>
        <w:rFonts w:hint="eastAsia"/>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ED1B99"/>
    <w:multiLevelType w:val="hybridMultilevel"/>
    <w:tmpl w:val="8E921524"/>
    <w:lvl w:ilvl="0" w:tplc="44A014FC">
      <w:start w:val="1"/>
      <w:numFmt w:val="decimal"/>
      <w:suff w:val="nothing"/>
      <w:lvlText w:val="%1."/>
      <w:lvlJc w:val="left"/>
      <w:pPr>
        <w:ind w:left="0" w:firstLine="550"/>
      </w:pPr>
      <w:rPr>
        <w:rFonts w:hint="eastAsia"/>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1C49FA"/>
    <w:multiLevelType w:val="multilevel"/>
    <w:tmpl w:val="4E1C49FA"/>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98636EA"/>
    <w:multiLevelType w:val="hybridMultilevel"/>
    <w:tmpl w:val="CA8E21CC"/>
    <w:lvl w:ilvl="0" w:tplc="35241D1A">
      <w:start w:val="1"/>
      <w:numFmt w:val="chineseCountingThousand"/>
      <w:suff w:val="nothing"/>
      <w:lvlText w:val="(%1)"/>
      <w:lvlJc w:val="left"/>
      <w:pPr>
        <w:ind w:left="0" w:firstLine="55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843674"/>
    <w:multiLevelType w:val="hybridMultilevel"/>
    <w:tmpl w:val="C320141A"/>
    <w:lvl w:ilvl="0" w:tplc="E474C218">
      <w:start w:val="1"/>
      <w:numFmt w:val="decimal"/>
      <w:suff w:val="nothing"/>
      <w:lvlText w:val="（%1）"/>
      <w:lvlJc w:val="left"/>
      <w:pPr>
        <w:ind w:left="0" w:firstLine="550"/>
      </w:pPr>
      <w:rPr>
        <w:rFonts w:eastAsia="宋体" w:hint="default"/>
        <w:b w:val="0"/>
        <w:i w:val="0"/>
        <w:spacing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6"/>
  </w:num>
  <w:num w:numId="5">
    <w:abstractNumId w:val="1"/>
  </w:num>
  <w:num w:numId="6">
    <w:abstractNumId w:val="1"/>
  </w:num>
  <w:num w:numId="7">
    <w:abstractNumId w:val="1"/>
  </w:num>
  <w:num w:numId="8">
    <w:abstractNumId w:val="1"/>
  </w:num>
  <w:num w:numId="9">
    <w:abstractNumId w:val="2"/>
  </w:num>
  <w:num w:numId="10">
    <w:abstractNumId w:val="1"/>
  </w:num>
  <w:num w:numId="11">
    <w:abstractNumId w:val="1"/>
  </w:num>
  <w:num w:numId="12">
    <w:abstractNumId w:val="1"/>
  </w:num>
  <w:num w:numId="13">
    <w:abstractNumId w:val="5"/>
  </w:num>
  <w:num w:numId="14">
    <w:abstractNumId w:val="1"/>
  </w:num>
  <w:num w:numId="15">
    <w:abstractNumId w:val="1"/>
  </w:num>
  <w:num w:numId="16">
    <w:abstractNumId w:val="1"/>
  </w:num>
  <w:num w:numId="17">
    <w:abstractNumId w:val="1"/>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EBA"/>
    <w:rsid w:val="001201F7"/>
    <w:rsid w:val="001249BC"/>
    <w:rsid w:val="001768EF"/>
    <w:rsid w:val="001A5D5E"/>
    <w:rsid w:val="002346F3"/>
    <w:rsid w:val="00246888"/>
    <w:rsid w:val="00276EF4"/>
    <w:rsid w:val="002A7375"/>
    <w:rsid w:val="002C3C3B"/>
    <w:rsid w:val="002D61EE"/>
    <w:rsid w:val="003D7B56"/>
    <w:rsid w:val="004A61B7"/>
    <w:rsid w:val="004F56B3"/>
    <w:rsid w:val="005B00DA"/>
    <w:rsid w:val="005D0FA4"/>
    <w:rsid w:val="0069282F"/>
    <w:rsid w:val="006A7FA5"/>
    <w:rsid w:val="0070666C"/>
    <w:rsid w:val="00715A59"/>
    <w:rsid w:val="00795C19"/>
    <w:rsid w:val="00795FD6"/>
    <w:rsid w:val="007C59A0"/>
    <w:rsid w:val="0080668A"/>
    <w:rsid w:val="0084212D"/>
    <w:rsid w:val="00852118"/>
    <w:rsid w:val="008A09CE"/>
    <w:rsid w:val="008F2201"/>
    <w:rsid w:val="0094572E"/>
    <w:rsid w:val="00A106C4"/>
    <w:rsid w:val="00A71637"/>
    <w:rsid w:val="00B05145"/>
    <w:rsid w:val="00B16B28"/>
    <w:rsid w:val="00C70F4E"/>
    <w:rsid w:val="00CC5EBA"/>
    <w:rsid w:val="00CF6031"/>
    <w:rsid w:val="00D3137E"/>
    <w:rsid w:val="00DB50B2"/>
    <w:rsid w:val="00E005B7"/>
    <w:rsid w:val="00E01A3D"/>
    <w:rsid w:val="00E82592"/>
    <w:rsid w:val="00EB2A46"/>
    <w:rsid w:val="00ED3FF2"/>
    <w:rsid w:val="00EE6908"/>
    <w:rsid w:val="00F24BCC"/>
    <w:rsid w:val="00F90D6D"/>
    <w:rsid w:val="0D4B429D"/>
    <w:rsid w:val="29884F21"/>
    <w:rsid w:val="673905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link w:val="2Char1"/>
    <w:qFormat/>
    <w:pPr>
      <w:keepNext/>
      <w:keepLines/>
      <w:numPr>
        <w:ilvl w:val="1"/>
        <w:numId w:val="1"/>
      </w:numPr>
      <w:tabs>
        <w:tab w:val="left" w:pos="210"/>
      </w:tabs>
      <w:adjustRightInd w:val="0"/>
      <w:spacing w:line="360" w:lineRule="auto"/>
      <w:outlineLvl w:val="1"/>
    </w:pPr>
    <w:rPr>
      <w:rFonts w:ascii="Times New Roman" w:eastAsia="宋体" w:hAnsi="Times New Roman" w:cs="Times New Roman"/>
      <w:b/>
      <w:bCs/>
      <w:color w:val="000000"/>
      <w:sz w:val="32"/>
      <w:szCs w:val="32"/>
    </w:rPr>
  </w:style>
  <w:style w:type="paragraph" w:styleId="3">
    <w:name w:val="heading 3"/>
    <w:basedOn w:val="a"/>
    <w:next w:val="a0"/>
    <w:link w:val="3Char"/>
    <w:qFormat/>
    <w:pPr>
      <w:keepNext/>
      <w:keepLines/>
      <w:numPr>
        <w:ilvl w:val="2"/>
        <w:numId w:val="1"/>
      </w:numPr>
      <w:spacing w:line="360" w:lineRule="auto"/>
      <w:outlineLvl w:val="2"/>
    </w:pPr>
    <w:rPr>
      <w:rFonts w:ascii="Times New Roman" w:eastAsia="宋体" w:hAnsi="Times New Roman" w:cs="Times New Roman"/>
      <w:b/>
      <w:bCs/>
      <w:color w:val="000000"/>
      <w:sz w:val="30"/>
      <w:szCs w:val="32"/>
    </w:rPr>
  </w:style>
  <w:style w:type="paragraph" w:styleId="4">
    <w:name w:val="heading 4"/>
    <w:basedOn w:val="a"/>
    <w:next w:val="a0"/>
    <w:link w:val="4Char"/>
    <w:qFormat/>
    <w:pPr>
      <w:keepNext/>
      <w:keepLines/>
      <w:numPr>
        <w:ilvl w:val="3"/>
        <w:numId w:val="1"/>
      </w:numPr>
      <w:spacing w:line="360" w:lineRule="auto"/>
      <w:outlineLvl w:val="3"/>
    </w:pPr>
    <w:rPr>
      <w:rFonts w:ascii="Times New Roman" w:eastAsia="宋体" w:hAnsi="Times New Roman" w:cs="Times New Roman"/>
      <w:b/>
      <w:bCs/>
      <w:color w:val="000000"/>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spacing w:line="360" w:lineRule="auto"/>
      <w:ind w:firstLineChars="200" w:firstLine="200"/>
    </w:pPr>
    <w:rPr>
      <w:rFonts w:ascii="Times New Roman" w:eastAsia="宋体" w:hAnsi="Times New Roman" w:cs="Times New Roman"/>
      <w:kern w:val="0"/>
      <w:sz w:val="24"/>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1"/>
    <w:uiPriority w:val="9"/>
    <w:semiHidden/>
    <w:rPr>
      <w:rFonts w:asciiTheme="majorHAnsi" w:eastAsiaTheme="majorEastAsia" w:hAnsiTheme="majorHAnsi" w:cstheme="majorBidi"/>
      <w:b/>
      <w:bCs/>
      <w:kern w:val="2"/>
      <w:sz w:val="32"/>
      <w:szCs w:val="32"/>
    </w:rPr>
  </w:style>
  <w:style w:type="character" w:customStyle="1" w:styleId="3Char">
    <w:name w:val="标题 3 Char"/>
    <w:basedOn w:val="a1"/>
    <w:link w:val="3"/>
    <w:rPr>
      <w:rFonts w:ascii="Times New Roman" w:hAnsi="Times New Roman"/>
      <w:b/>
      <w:bCs/>
      <w:color w:val="000000"/>
      <w:kern w:val="2"/>
      <w:sz w:val="30"/>
      <w:szCs w:val="32"/>
    </w:rPr>
  </w:style>
  <w:style w:type="character" w:customStyle="1" w:styleId="4Char">
    <w:name w:val="标题 4 Char"/>
    <w:basedOn w:val="a1"/>
    <w:link w:val="4"/>
    <w:qFormat/>
    <w:rPr>
      <w:rFonts w:ascii="Times New Roman" w:hAnsi="Times New Roman"/>
      <w:b/>
      <w:bCs/>
      <w:color w:val="000000"/>
      <w:kern w:val="2"/>
      <w:sz w:val="30"/>
      <w:szCs w:val="28"/>
    </w:rPr>
  </w:style>
  <w:style w:type="character" w:customStyle="1" w:styleId="Char">
    <w:name w:val="正文缩进 Char"/>
    <w:link w:val="a0"/>
    <w:qFormat/>
    <w:rPr>
      <w:rFonts w:ascii="Times New Roman" w:hAnsi="Times New Roman"/>
    </w:rPr>
  </w:style>
  <w:style w:type="character" w:customStyle="1" w:styleId="2Char1">
    <w:name w:val="标题 2 Char1"/>
    <w:link w:val="2"/>
    <w:qFormat/>
    <w:rPr>
      <w:rFonts w:ascii="Times New Roman" w:hAnsi="Times New Roman"/>
      <w:b/>
      <w:bCs/>
      <w:color w:val="000000"/>
      <w:kern w:val="2"/>
      <w:sz w:val="32"/>
      <w:szCs w:val="32"/>
    </w:rPr>
  </w:style>
  <w:style w:type="paragraph" w:styleId="a6">
    <w:name w:val="List Paragraph"/>
    <w:basedOn w:val="a"/>
    <w:uiPriority w:val="34"/>
    <w:qFormat/>
    <w:pPr>
      <w:ind w:firstLineChars="200" w:firstLine="420"/>
    </w:pPr>
  </w:style>
  <w:style w:type="character" w:customStyle="1" w:styleId="Char1">
    <w:name w:val="页眉 Char"/>
    <w:basedOn w:val="a1"/>
    <w:link w:val="a5"/>
    <w:uiPriority w:val="99"/>
    <w:qFormat/>
    <w:rPr>
      <w:rFonts w:asciiTheme="minorHAnsi" w:eastAsiaTheme="minorEastAsia" w:hAnsiTheme="minorHAnsi" w:cstheme="minorBidi"/>
      <w:kern w:val="2"/>
      <w:sz w:val="18"/>
      <w:szCs w:val="18"/>
    </w:rPr>
  </w:style>
  <w:style w:type="character" w:customStyle="1" w:styleId="Char0">
    <w:name w:val="页脚 Char"/>
    <w:basedOn w:val="a1"/>
    <w:link w:val="a4"/>
    <w:uiPriority w:val="99"/>
    <w:qFormat/>
    <w:rPr>
      <w:rFonts w:asciiTheme="minorHAnsi" w:eastAsiaTheme="minorEastAsia" w:hAnsiTheme="minorHAnsi" w:cstheme="minorBidi"/>
      <w:kern w:val="2"/>
      <w:sz w:val="18"/>
      <w:szCs w:val="18"/>
    </w:rPr>
  </w:style>
  <w:style w:type="paragraph" w:styleId="a7">
    <w:name w:val="No Spacing"/>
    <w:uiPriority w:val="1"/>
    <w:qFormat/>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link w:val="2Char1"/>
    <w:qFormat/>
    <w:pPr>
      <w:keepNext/>
      <w:keepLines/>
      <w:numPr>
        <w:ilvl w:val="1"/>
        <w:numId w:val="1"/>
      </w:numPr>
      <w:tabs>
        <w:tab w:val="left" w:pos="210"/>
      </w:tabs>
      <w:adjustRightInd w:val="0"/>
      <w:spacing w:line="360" w:lineRule="auto"/>
      <w:outlineLvl w:val="1"/>
    </w:pPr>
    <w:rPr>
      <w:rFonts w:ascii="Times New Roman" w:eastAsia="宋体" w:hAnsi="Times New Roman" w:cs="Times New Roman"/>
      <w:b/>
      <w:bCs/>
      <w:color w:val="000000"/>
      <w:sz w:val="32"/>
      <w:szCs w:val="32"/>
    </w:rPr>
  </w:style>
  <w:style w:type="paragraph" w:styleId="3">
    <w:name w:val="heading 3"/>
    <w:basedOn w:val="a"/>
    <w:next w:val="a0"/>
    <w:link w:val="3Char"/>
    <w:qFormat/>
    <w:pPr>
      <w:keepNext/>
      <w:keepLines/>
      <w:numPr>
        <w:ilvl w:val="2"/>
        <w:numId w:val="1"/>
      </w:numPr>
      <w:spacing w:line="360" w:lineRule="auto"/>
      <w:outlineLvl w:val="2"/>
    </w:pPr>
    <w:rPr>
      <w:rFonts w:ascii="Times New Roman" w:eastAsia="宋体" w:hAnsi="Times New Roman" w:cs="Times New Roman"/>
      <w:b/>
      <w:bCs/>
      <w:color w:val="000000"/>
      <w:sz w:val="30"/>
      <w:szCs w:val="32"/>
    </w:rPr>
  </w:style>
  <w:style w:type="paragraph" w:styleId="4">
    <w:name w:val="heading 4"/>
    <w:basedOn w:val="a"/>
    <w:next w:val="a0"/>
    <w:link w:val="4Char"/>
    <w:qFormat/>
    <w:pPr>
      <w:keepNext/>
      <w:keepLines/>
      <w:numPr>
        <w:ilvl w:val="3"/>
        <w:numId w:val="1"/>
      </w:numPr>
      <w:spacing w:line="360" w:lineRule="auto"/>
      <w:outlineLvl w:val="3"/>
    </w:pPr>
    <w:rPr>
      <w:rFonts w:ascii="Times New Roman" w:eastAsia="宋体" w:hAnsi="Times New Roman" w:cs="Times New Roman"/>
      <w:b/>
      <w:bCs/>
      <w:color w:val="000000"/>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spacing w:line="360" w:lineRule="auto"/>
      <w:ind w:firstLineChars="200" w:firstLine="200"/>
    </w:pPr>
    <w:rPr>
      <w:rFonts w:ascii="Times New Roman" w:eastAsia="宋体" w:hAnsi="Times New Roman" w:cs="Times New Roman"/>
      <w:kern w:val="0"/>
      <w:sz w:val="24"/>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1"/>
    <w:uiPriority w:val="9"/>
    <w:semiHidden/>
    <w:rPr>
      <w:rFonts w:asciiTheme="majorHAnsi" w:eastAsiaTheme="majorEastAsia" w:hAnsiTheme="majorHAnsi" w:cstheme="majorBidi"/>
      <w:b/>
      <w:bCs/>
      <w:kern w:val="2"/>
      <w:sz w:val="32"/>
      <w:szCs w:val="32"/>
    </w:rPr>
  </w:style>
  <w:style w:type="character" w:customStyle="1" w:styleId="3Char">
    <w:name w:val="标题 3 Char"/>
    <w:basedOn w:val="a1"/>
    <w:link w:val="3"/>
    <w:rPr>
      <w:rFonts w:ascii="Times New Roman" w:hAnsi="Times New Roman"/>
      <w:b/>
      <w:bCs/>
      <w:color w:val="000000"/>
      <w:kern w:val="2"/>
      <w:sz w:val="30"/>
      <w:szCs w:val="32"/>
    </w:rPr>
  </w:style>
  <w:style w:type="character" w:customStyle="1" w:styleId="4Char">
    <w:name w:val="标题 4 Char"/>
    <w:basedOn w:val="a1"/>
    <w:link w:val="4"/>
    <w:qFormat/>
    <w:rPr>
      <w:rFonts w:ascii="Times New Roman" w:hAnsi="Times New Roman"/>
      <w:b/>
      <w:bCs/>
      <w:color w:val="000000"/>
      <w:kern w:val="2"/>
      <w:sz w:val="30"/>
      <w:szCs w:val="28"/>
    </w:rPr>
  </w:style>
  <w:style w:type="character" w:customStyle="1" w:styleId="Char">
    <w:name w:val="正文缩进 Char"/>
    <w:link w:val="a0"/>
    <w:qFormat/>
    <w:rPr>
      <w:rFonts w:ascii="Times New Roman" w:hAnsi="Times New Roman"/>
    </w:rPr>
  </w:style>
  <w:style w:type="character" w:customStyle="1" w:styleId="2Char1">
    <w:name w:val="标题 2 Char1"/>
    <w:link w:val="2"/>
    <w:qFormat/>
    <w:rPr>
      <w:rFonts w:ascii="Times New Roman" w:hAnsi="Times New Roman"/>
      <w:b/>
      <w:bCs/>
      <w:color w:val="000000"/>
      <w:kern w:val="2"/>
      <w:sz w:val="32"/>
      <w:szCs w:val="32"/>
    </w:rPr>
  </w:style>
  <w:style w:type="paragraph" w:styleId="a6">
    <w:name w:val="List Paragraph"/>
    <w:basedOn w:val="a"/>
    <w:uiPriority w:val="34"/>
    <w:qFormat/>
    <w:pPr>
      <w:ind w:firstLineChars="200" w:firstLine="420"/>
    </w:pPr>
  </w:style>
  <w:style w:type="character" w:customStyle="1" w:styleId="Char1">
    <w:name w:val="页眉 Char"/>
    <w:basedOn w:val="a1"/>
    <w:link w:val="a5"/>
    <w:uiPriority w:val="99"/>
    <w:qFormat/>
    <w:rPr>
      <w:rFonts w:asciiTheme="minorHAnsi" w:eastAsiaTheme="minorEastAsia" w:hAnsiTheme="minorHAnsi" w:cstheme="minorBidi"/>
      <w:kern w:val="2"/>
      <w:sz w:val="18"/>
      <w:szCs w:val="18"/>
    </w:rPr>
  </w:style>
  <w:style w:type="character" w:customStyle="1" w:styleId="Char0">
    <w:name w:val="页脚 Char"/>
    <w:basedOn w:val="a1"/>
    <w:link w:val="a4"/>
    <w:uiPriority w:val="99"/>
    <w:qFormat/>
    <w:rPr>
      <w:rFonts w:asciiTheme="minorHAnsi" w:eastAsiaTheme="minorEastAsia" w:hAnsiTheme="minorHAnsi" w:cstheme="minorBidi"/>
      <w:kern w:val="2"/>
      <w:sz w:val="18"/>
      <w:szCs w:val="18"/>
    </w:rPr>
  </w:style>
  <w:style w:type="paragraph" w:styleId="a7">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525</Words>
  <Characters>2998</Characters>
  <Application>Microsoft Office Word</Application>
  <DocSecurity>0</DocSecurity>
  <Lines>24</Lines>
  <Paragraphs>7</Paragraphs>
  <ScaleCrop>false</ScaleCrop>
  <Company>HP</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邱文金</cp:lastModifiedBy>
  <cp:revision>8</cp:revision>
  <dcterms:created xsi:type="dcterms:W3CDTF">2021-06-07T09:30:00Z</dcterms:created>
  <dcterms:modified xsi:type="dcterms:W3CDTF">2021-06-11T03:39:00Z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068F1FF517454E86B9D78515CD2C9A01</vt:lpwstr>
  </property>
</Properties>
</file>