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38"/>
        <w:gridCol w:w="63"/>
        <w:gridCol w:w="6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322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安装地点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厦门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市海沧医院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322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9686" w:type="dxa"/>
            <w:gridSpan w:val="4"/>
            <w:noWrap w:val="0"/>
            <w:vAlign w:val="center"/>
          </w:tcPr>
          <w:p>
            <w:pPr>
              <w:spacing w:before="93" w:beforeLines="30"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主要参数</w:t>
            </w:r>
            <w:r>
              <w:rPr>
                <w:rFonts w:ascii="宋体" w:hAnsi="宋体"/>
                <w:b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小机房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救援</w:t>
            </w:r>
            <w:r>
              <w:rPr>
                <w:rFonts w:hint="eastAsia" w:ascii="宋体" w:hAnsi="宋体"/>
                <w:sz w:val="24"/>
                <w:szCs w:val="24"/>
              </w:rPr>
              <w:t>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产品型号: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额定速度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1.0m/s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额定载重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宋体" w:hAnsi="宋体"/>
                <w:sz w:val="24"/>
                <w:szCs w:val="24"/>
              </w:rPr>
              <w:t>0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停站层数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4/4/4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    站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轿厢尺寸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</w:rPr>
              <w:t>CW×CD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宽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0mm*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长23</w:t>
            </w:r>
            <w:r>
              <w:rPr>
                <w:rFonts w:hint="eastAsia" w:ascii="宋体" w:hAnsi="宋体"/>
                <w:sz w:val="24"/>
                <w:szCs w:val="24"/>
              </w:rPr>
              <w:t>00mm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*高2400mm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井道尺寸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</w:rPr>
              <w:t>HW×HD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eastAsia" w:ascii="宋体" w:hAnsi="宋体"/>
                <w:sz w:val="24"/>
                <w:szCs w:val="24"/>
              </w:rPr>
              <w:t>0mm*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390</w:t>
            </w:r>
            <w:r>
              <w:rPr>
                <w:rFonts w:hint="eastAsia" w:ascii="宋体" w:hAnsi="宋体"/>
                <w:sz w:val="24"/>
                <w:szCs w:val="24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开门尺寸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00mm*2100mm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顶层高度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宋体" w:hAnsi="宋体" w:cs="Arial"/>
                <w:sz w:val="24"/>
                <w:szCs w:val="24"/>
              </w:rPr>
              <w:t>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底坑深度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15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4"/>
                <w:szCs w:val="24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开门方式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旁开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轿厢前壁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发纹不锈钢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轿厢后壁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发纹不锈钢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轿厢侧壁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发纹不锈钢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轿厢地板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轿厢吊顶（天花）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轿厢操纵箱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层楼召唤箱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轿厢轿门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层门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门套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小门套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门保护系统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光幕保护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门系统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变频门机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控制系统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双32位微机控制，VVVF变频控制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曳引机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高效永磁同步曳引机(碟式马达）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</w:t>
            </w:r>
          </w:p>
        </w:tc>
        <w:tc>
          <w:tcPr>
            <w:tcW w:w="2338" w:type="dxa"/>
            <w:vMerge w:val="restart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电源: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拖动电源：交流380伏,三相, 50赫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8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照明电源：交流 220伏,单相,50赫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27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  <w:tc>
          <w:tcPr>
            <w:tcW w:w="6526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配置电梯专用无滴水空调</w:t>
            </w:r>
          </w:p>
          <w:p>
            <w:pPr>
              <w:spacing w:line="34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每层电梯层门配置智能刷卡功能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79E7"/>
    <w:rsid w:val="03032E9F"/>
    <w:rsid w:val="090A1BFA"/>
    <w:rsid w:val="0BA92DE8"/>
    <w:rsid w:val="43DF40A9"/>
    <w:rsid w:val="6D8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2021-09-02T07:05:00Z</dcterms:created>
  <dc:creator>NINGMEI</dc:creator>
  <cp:lastModifiedBy>admini</cp:lastModifiedBy>
  <dcterms:modified xsi:type="dcterms:W3CDTF">2021-09-02T09:19:12Z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39442EF4F3F846DCBABF855824CD2920</vt:lpwstr>
  </property>
</Properties>
</file>