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cs="宋体"/>
          <w:b/>
          <w:bCs/>
          <w:sz w:val="32"/>
          <w:szCs w:val="32"/>
        </w:rPr>
      </w:pPr>
      <w:r>
        <w:rPr>
          <w:rFonts w:hint="eastAsia" w:ascii="宋体" w:hAnsi="宋体" w:cs="宋体"/>
          <w:b/>
          <w:bCs/>
          <w:sz w:val="32"/>
          <w:szCs w:val="32"/>
        </w:rPr>
        <w:t>厦门市海沧医院</w:t>
      </w:r>
    </w:p>
    <w:p>
      <w:pPr>
        <w:adjustRightInd w:val="0"/>
        <w:snapToGrid w:val="0"/>
        <w:spacing w:line="360" w:lineRule="auto"/>
        <w:jc w:val="center"/>
        <w:rPr>
          <w:rFonts w:ascii="宋体" w:hAnsi="宋体" w:cs="宋体"/>
          <w:b/>
          <w:bCs/>
          <w:sz w:val="32"/>
          <w:szCs w:val="32"/>
        </w:rPr>
      </w:pPr>
      <w:bookmarkStart w:id="4" w:name="_GoBack"/>
      <w:r>
        <w:rPr>
          <w:rFonts w:hint="eastAsia" w:ascii="宋体" w:hAnsi="宋体" w:cs="宋体"/>
          <w:b/>
          <w:bCs/>
          <w:sz w:val="32"/>
          <w:szCs w:val="32"/>
        </w:rPr>
        <w:t>医疗责任险询议价</w:t>
      </w:r>
      <w:bookmarkEnd w:id="4"/>
      <w:r>
        <w:rPr>
          <w:rFonts w:hint="eastAsia" w:ascii="宋体" w:hAnsi="宋体" w:cs="宋体"/>
          <w:b/>
          <w:bCs/>
          <w:sz w:val="32"/>
          <w:szCs w:val="32"/>
        </w:rPr>
        <w:t>要求</w:t>
      </w:r>
    </w:p>
    <w:p>
      <w:pPr>
        <w:numPr>
          <w:ilvl w:val="0"/>
          <w:numId w:val="1"/>
        </w:numPr>
        <w:adjustRightInd w:val="0"/>
        <w:snapToGrid w:val="0"/>
        <w:spacing w:line="360" w:lineRule="auto"/>
        <w:ind w:firstLine="0"/>
        <w:rPr>
          <w:rFonts w:ascii="宋体" w:hAnsi="宋体" w:cs="宋体"/>
          <w:b/>
          <w:bCs/>
        </w:rPr>
      </w:pPr>
      <w:r>
        <w:rPr>
          <w:rFonts w:hint="eastAsia" w:ascii="宋体" w:hAnsi="宋体" w:cs="宋体"/>
          <w:b/>
          <w:bCs/>
        </w:rPr>
        <w:t>拟采购项目</w:t>
      </w:r>
    </w:p>
    <w:p>
      <w:pPr>
        <w:adjustRightInd w:val="0"/>
        <w:snapToGrid w:val="0"/>
        <w:spacing w:line="360" w:lineRule="auto"/>
        <w:ind w:firstLine="480" w:firstLineChars="200"/>
        <w:rPr>
          <w:rFonts w:ascii="宋体" w:hAnsi="宋体" w:cs="宋体"/>
        </w:rPr>
      </w:pPr>
      <w:r>
        <w:rPr>
          <w:rFonts w:hint="eastAsia" w:ascii="宋体" w:hAnsi="宋体" w:cs="宋体"/>
        </w:rPr>
        <w:t>医疗责任险保险项目</w:t>
      </w:r>
    </w:p>
    <w:p>
      <w:pPr>
        <w:numPr>
          <w:ilvl w:val="0"/>
          <w:numId w:val="1"/>
        </w:numPr>
        <w:adjustRightInd w:val="0"/>
        <w:snapToGrid w:val="0"/>
        <w:spacing w:line="360" w:lineRule="auto"/>
        <w:ind w:firstLine="0"/>
        <w:rPr>
          <w:rFonts w:ascii="宋体" w:hAnsi="宋体" w:cs="宋体"/>
          <w:b/>
          <w:bCs/>
        </w:rPr>
      </w:pPr>
      <w:r>
        <w:rPr>
          <w:rFonts w:hint="eastAsia" w:ascii="宋体" w:hAnsi="宋体" w:cs="宋体"/>
          <w:b/>
          <w:bCs/>
        </w:rPr>
        <w:t>被保险人</w:t>
      </w:r>
    </w:p>
    <w:p>
      <w:pPr>
        <w:adjustRightInd w:val="0"/>
        <w:snapToGrid w:val="0"/>
        <w:spacing w:line="360" w:lineRule="auto"/>
        <w:ind w:firstLine="480" w:firstLineChars="200"/>
        <w:rPr>
          <w:rFonts w:ascii="宋体" w:hAnsi="宋体" w:cs="宋体"/>
        </w:rPr>
      </w:pPr>
      <w:r>
        <w:rPr>
          <w:rFonts w:hint="eastAsia" w:ascii="宋体" w:hAnsi="宋体" w:cs="宋体"/>
        </w:rPr>
        <w:t>厦门市海沧医院</w:t>
      </w:r>
    </w:p>
    <w:p>
      <w:pPr>
        <w:numPr>
          <w:ilvl w:val="0"/>
          <w:numId w:val="1"/>
        </w:numPr>
        <w:adjustRightInd w:val="0"/>
        <w:snapToGrid w:val="0"/>
        <w:spacing w:line="360" w:lineRule="auto"/>
        <w:ind w:firstLine="0"/>
        <w:rPr>
          <w:rFonts w:ascii="宋体" w:hAnsi="宋体" w:cs="宋体"/>
          <w:b/>
          <w:bCs/>
        </w:rPr>
      </w:pPr>
      <w:r>
        <w:rPr>
          <w:rFonts w:hint="eastAsia" w:ascii="宋体" w:hAnsi="宋体" w:cs="宋体"/>
          <w:b/>
          <w:bCs/>
        </w:rPr>
        <w:t>被保险人之经纪人</w:t>
      </w:r>
    </w:p>
    <w:p>
      <w:pPr>
        <w:adjustRightInd w:val="0"/>
        <w:snapToGrid w:val="0"/>
        <w:spacing w:line="360" w:lineRule="auto"/>
        <w:ind w:firstLine="480" w:firstLineChars="200"/>
        <w:rPr>
          <w:rFonts w:ascii="宋体" w:hAnsi="宋体" w:cs="宋体"/>
        </w:rPr>
      </w:pPr>
      <w:r>
        <w:rPr>
          <w:rFonts w:hint="eastAsia" w:ascii="宋体" w:hAnsi="宋体" w:cs="宋体"/>
        </w:rPr>
        <w:t>富邦国际（厦门）保险经纪有限公司</w:t>
      </w:r>
    </w:p>
    <w:p>
      <w:pPr>
        <w:numPr>
          <w:ilvl w:val="0"/>
          <w:numId w:val="1"/>
        </w:numPr>
        <w:adjustRightInd w:val="0"/>
        <w:snapToGrid w:val="0"/>
        <w:spacing w:line="360" w:lineRule="auto"/>
        <w:ind w:firstLine="0"/>
        <w:rPr>
          <w:rFonts w:ascii="宋体" w:hAnsi="宋体" w:cs="宋体"/>
          <w:b/>
          <w:bCs/>
        </w:rPr>
      </w:pPr>
      <w:r>
        <w:rPr>
          <w:rFonts w:hint="eastAsia" w:ascii="宋体" w:hAnsi="宋体" w:cs="宋体"/>
          <w:b/>
          <w:bCs/>
        </w:rPr>
        <w:t>资质要求</w:t>
      </w:r>
    </w:p>
    <w:p>
      <w:pPr>
        <w:adjustRightInd w:val="0"/>
        <w:snapToGrid w:val="0"/>
        <w:spacing w:line="360" w:lineRule="auto"/>
        <w:ind w:firstLine="530" w:firstLineChars="221"/>
        <w:rPr>
          <w:rFonts w:ascii="宋体" w:hAnsi="宋体" w:cs="宋体"/>
        </w:rPr>
      </w:pPr>
      <w:r>
        <w:rPr>
          <w:rFonts w:hint="eastAsia" w:ascii="宋体" w:hAnsi="宋体" w:cs="宋体"/>
        </w:rPr>
        <w:t>参与询价单位必须是具有独立法人资格或经其授权具有独立投标能力，拥有中国保险监督管理委员会批准开展保险业务资格、地处厦门市的财产保险市级分公司或分公司以上级别机构。</w:t>
      </w:r>
    </w:p>
    <w:p>
      <w:pPr>
        <w:numPr>
          <w:ilvl w:val="0"/>
          <w:numId w:val="1"/>
        </w:numPr>
        <w:adjustRightInd w:val="0"/>
        <w:snapToGrid w:val="0"/>
        <w:spacing w:line="360" w:lineRule="auto"/>
        <w:ind w:firstLine="0"/>
        <w:rPr>
          <w:rFonts w:ascii="宋体" w:hAnsi="宋体" w:cs="宋体"/>
          <w:b/>
          <w:bCs/>
        </w:rPr>
      </w:pPr>
      <w:r>
        <w:rPr>
          <w:rFonts w:hint="eastAsia" w:ascii="宋体" w:hAnsi="宋体" w:cs="宋体"/>
          <w:b/>
          <w:bCs/>
        </w:rPr>
        <w:t>项目要求</w:t>
      </w:r>
    </w:p>
    <w:p>
      <w:pPr>
        <w:numPr>
          <w:ilvl w:val="0"/>
          <w:numId w:val="2"/>
        </w:numPr>
        <w:spacing w:line="360" w:lineRule="auto"/>
        <w:rPr>
          <w:rFonts w:ascii="宋体" w:hAnsi="宋体" w:cs="宋体"/>
          <w:b/>
        </w:rPr>
      </w:pPr>
      <w:bookmarkStart w:id="0" w:name="_Toc454391781"/>
      <w:bookmarkStart w:id="1" w:name="_Toc454381560"/>
      <w:r>
        <w:rPr>
          <w:rFonts w:hint="eastAsia" w:ascii="宋体" w:hAnsi="宋体" w:cs="宋体"/>
          <w:b/>
        </w:rPr>
        <w:t>保险责任：</w:t>
      </w:r>
      <w:bookmarkEnd w:id="0"/>
      <w:bookmarkEnd w:id="1"/>
    </w:p>
    <w:p>
      <w:pPr>
        <w:numPr>
          <w:ilvl w:val="0"/>
          <w:numId w:val="3"/>
        </w:numPr>
        <w:spacing w:line="360" w:lineRule="auto"/>
        <w:ind w:left="0" w:firstLine="0"/>
        <w:rPr>
          <w:rFonts w:ascii="宋体" w:hAnsi="宋体" w:cs="宋体"/>
          <w:b/>
        </w:rPr>
      </w:pPr>
      <w:r>
        <w:rPr>
          <w:rFonts w:hint="eastAsia" w:ascii="宋体" w:hAnsi="宋体" w:cs="宋体"/>
          <w:b/>
        </w:rPr>
        <w:t>医疗责任险：</w:t>
      </w:r>
    </w:p>
    <w:p>
      <w:pPr>
        <w:adjustRightInd w:val="0"/>
        <w:snapToGrid w:val="0"/>
        <w:spacing w:line="360" w:lineRule="auto"/>
        <w:ind w:firstLine="530" w:firstLineChars="221"/>
        <w:rPr>
          <w:rFonts w:ascii="宋体" w:hAnsi="宋体" w:cs="宋体"/>
        </w:rPr>
      </w:pPr>
      <w:r>
        <w:rPr>
          <w:rFonts w:hint="eastAsia" w:ascii="宋体" w:hAnsi="宋体" w:cs="宋体"/>
        </w:rPr>
        <w:t>在保险单明细表中列明的保险期限及承保区域范围内，甲方投保的医务人员在诊疗护理活动中，因执业过失造成患者人身损害，在保险期限或索赔时效内，由患者或其近亲属首次向甲方提出索赔申请，依法应由甲方承担民事赔偿责任时，乙方根据保险合同的约定负责赔偿。</w:t>
      </w:r>
    </w:p>
    <w:p>
      <w:pPr>
        <w:numPr>
          <w:ilvl w:val="0"/>
          <w:numId w:val="3"/>
        </w:numPr>
        <w:spacing w:line="360" w:lineRule="auto"/>
        <w:ind w:left="0" w:firstLine="0"/>
        <w:rPr>
          <w:rFonts w:ascii="宋体" w:hAnsi="宋体" w:cs="宋体"/>
          <w:b/>
        </w:rPr>
      </w:pPr>
      <w:r>
        <w:rPr>
          <w:rFonts w:hint="eastAsia" w:ascii="宋体" w:hAnsi="宋体" w:cs="宋体"/>
          <w:b/>
        </w:rPr>
        <w:t>附加医疗意外责任：</w:t>
      </w:r>
    </w:p>
    <w:p>
      <w:pPr>
        <w:adjustRightInd w:val="0"/>
        <w:snapToGrid w:val="0"/>
        <w:spacing w:line="360" w:lineRule="auto"/>
        <w:ind w:firstLine="530" w:firstLineChars="221"/>
        <w:rPr>
          <w:rFonts w:ascii="宋体" w:hAnsi="宋体" w:cs="宋体"/>
        </w:rPr>
      </w:pPr>
      <w:r>
        <w:rPr>
          <w:rFonts w:hint="eastAsia" w:ascii="宋体" w:hAnsi="宋体" w:cs="宋体"/>
        </w:rPr>
        <w:t>在保险单明细表中列明的保险期限及承保区域范围内，甲方的投保医务人员在诊疗护理活动中，因下列情形造成患者人身损害，在本保险期限或索赔时效内，由患者或其近亲属首次向甲方提出索赔申请，依法应由甲方承担民事赔偿责任时，乙方根据保险合同的约定责任赔偿：</w:t>
      </w:r>
    </w:p>
    <w:p>
      <w:pPr>
        <w:numPr>
          <w:ilvl w:val="0"/>
          <w:numId w:val="4"/>
        </w:numPr>
        <w:spacing w:line="360" w:lineRule="auto"/>
        <w:ind w:firstLine="480" w:firstLineChars="200"/>
        <w:rPr>
          <w:rFonts w:ascii="宋体" w:hAnsi="宋体" w:cs="宋体"/>
        </w:rPr>
      </w:pPr>
      <w:r>
        <w:rPr>
          <w:rFonts w:hint="eastAsia" w:ascii="宋体" w:hAnsi="宋体" w:cs="宋体"/>
        </w:rPr>
        <w:t>在诊疗护理过程中由于病情或患者体质特殊而发生的难以预料或在预料之中但难以防范的不良后果；</w:t>
      </w:r>
    </w:p>
    <w:p>
      <w:pPr>
        <w:numPr>
          <w:ilvl w:val="0"/>
          <w:numId w:val="4"/>
        </w:numPr>
        <w:spacing w:line="360" w:lineRule="auto"/>
        <w:ind w:firstLine="480" w:firstLineChars="200"/>
        <w:rPr>
          <w:rFonts w:ascii="宋体" w:hAnsi="宋体" w:cs="宋体"/>
        </w:rPr>
      </w:pPr>
      <w:r>
        <w:rPr>
          <w:rFonts w:hint="eastAsia" w:ascii="宋体" w:hAnsi="宋体" w:cs="宋体"/>
        </w:rPr>
        <w:t>按照正常的技术规范操作，仍然发生难以避免的并发症或者治疗意外；</w:t>
      </w:r>
    </w:p>
    <w:p>
      <w:pPr>
        <w:numPr>
          <w:ilvl w:val="0"/>
          <w:numId w:val="4"/>
        </w:numPr>
        <w:spacing w:line="360" w:lineRule="auto"/>
        <w:ind w:firstLine="480" w:firstLineChars="200"/>
        <w:rPr>
          <w:rFonts w:ascii="宋体" w:hAnsi="宋体" w:cs="宋体"/>
        </w:rPr>
      </w:pPr>
      <w:r>
        <w:rPr>
          <w:rFonts w:hint="eastAsia" w:ascii="宋体" w:hAnsi="宋体" w:cs="宋体"/>
        </w:rPr>
        <w:t>应用现有医学科学技术，仍然发生无法预料或难以防范的不良后果；</w:t>
      </w:r>
    </w:p>
    <w:p>
      <w:pPr>
        <w:numPr>
          <w:ilvl w:val="0"/>
          <w:numId w:val="4"/>
        </w:numPr>
        <w:spacing w:line="360" w:lineRule="auto"/>
        <w:ind w:firstLine="480" w:firstLineChars="200"/>
        <w:rPr>
          <w:rFonts w:ascii="宋体" w:hAnsi="宋体" w:cs="宋体"/>
        </w:rPr>
      </w:pPr>
      <w:r>
        <w:rPr>
          <w:rFonts w:hint="eastAsia" w:ascii="宋体" w:hAnsi="宋体" w:cs="宋体"/>
        </w:rPr>
        <w:t>在危急情况下为抢救危重患者生命而采取的紧急措施所造成的不良后果。</w:t>
      </w:r>
    </w:p>
    <w:p>
      <w:pPr>
        <w:numPr>
          <w:ilvl w:val="0"/>
          <w:numId w:val="3"/>
        </w:numPr>
        <w:spacing w:line="360" w:lineRule="auto"/>
        <w:ind w:left="0" w:firstLine="0"/>
        <w:rPr>
          <w:rFonts w:ascii="宋体" w:hAnsi="宋体" w:cs="宋体"/>
          <w:b/>
        </w:rPr>
      </w:pPr>
      <w:r>
        <w:rPr>
          <w:rFonts w:hint="eastAsia" w:ascii="宋体" w:hAnsi="宋体" w:cs="宋体"/>
          <w:b/>
        </w:rPr>
        <w:t>附加医疗机构场所责任：</w:t>
      </w:r>
    </w:p>
    <w:p>
      <w:pPr>
        <w:adjustRightInd w:val="0"/>
        <w:snapToGrid w:val="0"/>
        <w:spacing w:line="360" w:lineRule="auto"/>
        <w:ind w:firstLine="530" w:firstLineChars="221"/>
        <w:rPr>
          <w:rFonts w:ascii="宋体" w:hAnsi="宋体" w:cs="宋体"/>
        </w:rPr>
      </w:pPr>
      <w:r>
        <w:rPr>
          <w:rFonts w:hint="eastAsia" w:ascii="宋体" w:hAnsi="宋体" w:cs="宋体"/>
        </w:rPr>
        <w:t>在本保险单明细表中列明的保险期限及被保险人的医疗机构内，由于下列原因导致第三者（含患者）的人身伤害或财产损失，依法应由被保险人承担民事赔偿责任时，保险人根据本保险合同的约定负责赔偿。</w:t>
      </w:r>
    </w:p>
    <w:p>
      <w:pPr>
        <w:numPr>
          <w:ilvl w:val="0"/>
          <w:numId w:val="5"/>
        </w:numPr>
        <w:spacing w:line="360" w:lineRule="auto"/>
        <w:ind w:left="0" w:firstLine="0"/>
        <w:rPr>
          <w:rFonts w:ascii="宋体" w:hAnsi="宋体" w:cs="宋体"/>
        </w:rPr>
      </w:pPr>
      <w:r>
        <w:rPr>
          <w:rFonts w:hint="eastAsia" w:ascii="宋体" w:hAnsi="宋体" w:cs="宋体"/>
        </w:rPr>
        <w:t>医疗机构的公共设施存在缺陷；</w:t>
      </w:r>
    </w:p>
    <w:p>
      <w:pPr>
        <w:numPr>
          <w:ilvl w:val="0"/>
          <w:numId w:val="5"/>
        </w:numPr>
        <w:spacing w:line="360" w:lineRule="auto"/>
        <w:ind w:left="0" w:firstLine="0"/>
        <w:rPr>
          <w:rFonts w:ascii="宋体" w:hAnsi="宋体" w:cs="宋体"/>
        </w:rPr>
      </w:pPr>
      <w:r>
        <w:rPr>
          <w:rFonts w:hint="eastAsia" w:ascii="宋体" w:hAnsi="宋体" w:cs="宋体"/>
        </w:rPr>
        <w:t>被保险人或其雇员对医疗机构内的公共设施管理不善或操作、维护不当；</w:t>
      </w:r>
    </w:p>
    <w:p>
      <w:pPr>
        <w:numPr>
          <w:ilvl w:val="0"/>
          <w:numId w:val="5"/>
        </w:numPr>
        <w:spacing w:line="360" w:lineRule="auto"/>
        <w:ind w:left="0" w:firstLine="0"/>
        <w:rPr>
          <w:rFonts w:ascii="宋体" w:hAnsi="宋体" w:cs="宋体"/>
        </w:rPr>
      </w:pPr>
      <w:r>
        <w:rPr>
          <w:rFonts w:hint="eastAsia" w:ascii="宋体" w:hAnsi="宋体" w:cs="宋体"/>
        </w:rPr>
        <w:t>保险人或其雇员的过失导致的火灾或爆炸；</w:t>
      </w:r>
    </w:p>
    <w:p>
      <w:pPr>
        <w:numPr>
          <w:ilvl w:val="0"/>
          <w:numId w:val="5"/>
        </w:numPr>
        <w:spacing w:line="360" w:lineRule="auto"/>
        <w:ind w:left="0" w:firstLine="0"/>
        <w:rPr>
          <w:rFonts w:ascii="宋体" w:hAnsi="宋体" w:cs="宋体"/>
        </w:rPr>
      </w:pPr>
      <w:r>
        <w:rPr>
          <w:rFonts w:hint="eastAsia" w:ascii="宋体" w:hAnsi="宋体" w:cs="宋体"/>
        </w:rPr>
        <w:t>被保险人或其雇员的过失导致被保险人提供的食品引发食物中毒或其他食源性疾患。</w:t>
      </w:r>
    </w:p>
    <w:p>
      <w:pPr>
        <w:numPr>
          <w:ilvl w:val="0"/>
          <w:numId w:val="3"/>
        </w:numPr>
        <w:spacing w:line="360" w:lineRule="auto"/>
        <w:ind w:left="0" w:firstLine="0"/>
        <w:rPr>
          <w:rFonts w:ascii="宋体" w:hAnsi="宋体" w:cs="宋体"/>
          <w:b/>
        </w:rPr>
      </w:pPr>
      <w:r>
        <w:rPr>
          <w:rFonts w:hint="eastAsia" w:ascii="宋体" w:hAnsi="宋体" w:cs="宋体"/>
          <w:b/>
        </w:rPr>
        <w:t>附加医务人员遭受伤害保险责任：</w:t>
      </w:r>
    </w:p>
    <w:p>
      <w:pPr>
        <w:adjustRightInd w:val="0"/>
        <w:snapToGrid w:val="0"/>
        <w:spacing w:line="360" w:lineRule="auto"/>
        <w:ind w:firstLine="530" w:firstLineChars="221"/>
        <w:rPr>
          <w:rFonts w:ascii="宋体" w:hAnsi="宋体" w:cs="宋体"/>
        </w:rPr>
      </w:pPr>
      <w:r>
        <w:rPr>
          <w:rFonts w:hint="eastAsia" w:ascii="宋体" w:hAnsi="宋体" w:cs="宋体"/>
        </w:rPr>
        <w:t>在本保险单明细表中列明的保险期限及承保区域范围内，被保险人的投保医务人员在从事与其资格相符的诊疗护理活动中，因产生医患纠纷而遭受到患方的伤害，造成其人身伤害或财产损失，依法应由被保险人承担民事赔偿责任时，保险人根据本保险合同的约定负责赔偿。</w:t>
      </w:r>
    </w:p>
    <w:p>
      <w:pPr>
        <w:numPr>
          <w:ilvl w:val="0"/>
          <w:numId w:val="2"/>
        </w:numPr>
        <w:spacing w:line="360" w:lineRule="auto"/>
        <w:rPr>
          <w:rFonts w:ascii="宋体" w:hAnsi="宋体" w:cs="宋体"/>
        </w:rPr>
      </w:pPr>
      <w:r>
        <w:rPr>
          <w:rFonts w:hint="eastAsia" w:ascii="宋体" w:hAnsi="宋体" w:cs="宋体"/>
          <w:b/>
        </w:rPr>
        <w:t>保险期限：</w:t>
      </w:r>
      <w:r>
        <w:rPr>
          <w:rFonts w:hint="eastAsia" w:ascii="宋体" w:hAnsi="宋体" w:cs="宋体"/>
        </w:rPr>
        <w:t>一年。</w:t>
      </w:r>
    </w:p>
    <w:p>
      <w:pPr>
        <w:numPr>
          <w:ilvl w:val="0"/>
          <w:numId w:val="2"/>
        </w:numPr>
        <w:spacing w:line="360" w:lineRule="auto"/>
        <w:rPr>
          <w:rFonts w:ascii="宋体" w:hAnsi="宋体" w:cs="宋体"/>
        </w:rPr>
      </w:pPr>
      <w:bookmarkStart w:id="2" w:name="_Toc454381562"/>
      <w:bookmarkStart w:id="3" w:name="_Toc454391783"/>
      <w:r>
        <w:rPr>
          <w:rFonts w:hint="eastAsia" w:ascii="宋体" w:hAnsi="宋体" w:cs="宋体"/>
          <w:b/>
          <w:bCs/>
        </w:rPr>
        <w:t>索赔方式：</w:t>
      </w:r>
      <w:r>
        <w:rPr>
          <w:rFonts w:hint="eastAsia" w:ascii="宋体" w:hAnsi="宋体" w:cs="宋体"/>
        </w:rPr>
        <w:t>事故发生制</w:t>
      </w:r>
      <w:bookmarkEnd w:id="2"/>
      <w:bookmarkEnd w:id="3"/>
      <w:r>
        <w:rPr>
          <w:rFonts w:hint="eastAsia" w:ascii="宋体" w:hAnsi="宋体" w:cs="宋体"/>
        </w:rPr>
        <w:t>（索赔时效3年）。</w:t>
      </w:r>
    </w:p>
    <w:p>
      <w:pPr>
        <w:numPr>
          <w:ilvl w:val="0"/>
          <w:numId w:val="2"/>
        </w:numPr>
        <w:spacing w:line="360" w:lineRule="auto"/>
        <w:rPr>
          <w:rFonts w:ascii="宋体" w:hAnsi="宋体" w:cs="宋体"/>
          <w:b/>
        </w:rPr>
      </w:pPr>
      <w:r>
        <w:rPr>
          <w:rFonts w:hint="eastAsia" w:ascii="宋体" w:hAnsi="宋体" w:cs="宋体"/>
          <w:b/>
        </w:rPr>
        <w:t>赔偿方案：保险人提供方案</w:t>
      </w:r>
    </w:p>
    <w:p>
      <w:pPr>
        <w:numPr>
          <w:ilvl w:val="0"/>
          <w:numId w:val="2"/>
        </w:numPr>
        <w:spacing w:line="360" w:lineRule="auto"/>
        <w:rPr>
          <w:rFonts w:ascii="宋体" w:hAnsi="宋体" w:cs="宋体"/>
          <w:b/>
        </w:rPr>
      </w:pPr>
      <w:r>
        <w:rPr>
          <w:rFonts w:hint="eastAsia" w:ascii="宋体" w:hAnsi="宋体" w:cs="宋体"/>
          <w:b/>
        </w:rPr>
        <w:t>特别约定：</w:t>
      </w:r>
    </w:p>
    <w:p>
      <w:pPr>
        <w:adjustRightInd w:val="0"/>
        <w:snapToGrid w:val="0"/>
        <w:spacing w:line="360" w:lineRule="auto"/>
        <w:ind w:firstLine="530" w:firstLineChars="221"/>
        <w:rPr>
          <w:rFonts w:ascii="宋体" w:hAnsi="宋体" w:cs="宋体"/>
        </w:rPr>
      </w:pPr>
      <w:r>
        <w:rPr>
          <w:rFonts w:hint="eastAsia" w:ascii="宋体" w:hAnsi="宋体" w:cs="宋体"/>
        </w:rPr>
        <w:t>兹经双方协商约定，本保险单项下自保险生效之日起，增加下列特别约定：</w:t>
      </w:r>
    </w:p>
    <w:p>
      <w:pPr>
        <w:pStyle w:val="20"/>
        <w:numPr>
          <w:ilvl w:val="0"/>
          <w:numId w:val="6"/>
        </w:numPr>
        <w:spacing w:line="360" w:lineRule="auto"/>
        <w:ind w:firstLine="0" w:firstLineChars="0"/>
        <w:rPr>
          <w:rFonts w:ascii="宋体" w:hAnsi="宋体" w:cs="宋体"/>
          <w:kern w:val="0"/>
        </w:rPr>
      </w:pPr>
      <w:r>
        <w:rPr>
          <w:rFonts w:hint="eastAsia" w:ascii="宋体" w:hAnsi="宋体" w:cs="宋体"/>
          <w:kern w:val="0"/>
        </w:rPr>
        <w:t>被保险人一旦获悉可能引起本保险责任项下的索赔时，应立即以电话或书面形式通知保险人。</w:t>
      </w:r>
    </w:p>
    <w:p>
      <w:pPr>
        <w:numPr>
          <w:ilvl w:val="0"/>
          <w:numId w:val="6"/>
        </w:numPr>
        <w:spacing w:line="360" w:lineRule="auto"/>
        <w:ind w:firstLine="0"/>
        <w:rPr>
          <w:rFonts w:ascii="宋体" w:hAnsi="宋体" w:cs="宋体"/>
          <w:kern w:val="0"/>
        </w:rPr>
      </w:pPr>
      <w:r>
        <w:rPr>
          <w:rFonts w:hint="eastAsia" w:ascii="宋体" w:hAnsi="宋体" w:cs="宋体"/>
          <w:kern w:val="0"/>
        </w:rPr>
        <w:t>按照</w:t>
      </w:r>
      <w:r>
        <w:rPr>
          <w:rFonts w:ascii="宋体" w:hAnsi="宋体" w:cs="宋体"/>
          <w:kern w:val="0"/>
        </w:rPr>
        <w:t>《福建省医疗纠纷预防与处理办法》</w:t>
      </w:r>
      <w:r>
        <w:rPr>
          <w:rFonts w:hint="eastAsia" w:ascii="宋体" w:hAnsi="宋体" w:cs="宋体"/>
          <w:kern w:val="0"/>
        </w:rPr>
        <w:t>，医疗纠纷发生后，患方索赔金额不超过2万元的医患双方可以自行协商解决，</w:t>
      </w:r>
      <w:r>
        <w:rPr>
          <w:rFonts w:ascii="宋体" w:hAnsi="宋体" w:cs="宋体"/>
          <w:kern w:val="0"/>
        </w:rPr>
        <w:t>协商一致的，应当制作、签署书面和解协议。</w:t>
      </w:r>
    </w:p>
    <w:p>
      <w:pPr>
        <w:numPr>
          <w:ilvl w:val="0"/>
          <w:numId w:val="6"/>
        </w:numPr>
        <w:spacing w:line="360" w:lineRule="auto"/>
        <w:ind w:firstLine="0"/>
        <w:rPr>
          <w:rFonts w:ascii="宋体" w:hAnsi="宋体" w:cs="宋体"/>
          <w:kern w:val="0"/>
        </w:rPr>
      </w:pPr>
      <w:r>
        <w:rPr>
          <w:rFonts w:hint="eastAsia" w:ascii="宋体" w:hAnsi="宋体" w:cs="宋体"/>
          <w:kern w:val="0"/>
        </w:rPr>
        <w:t>保险人对医疗机构索赔案件理赔的法律依据适用《民法总则》、《民法通则》、《侵权责任法》、《最高人民法院关于人身侵权损害赔偿的司法解释》或《医疗事故处理条例》，具体以判决、裁决、裁定或调解所适用的法律为准。对于判决、裁决、裁定或调解的金额，保险人按照保险条款的约定，扣除本保险单明细表中的约定自负比例或免赔额后，在本保险单约定的责任限额内赔偿。</w:t>
      </w:r>
    </w:p>
    <w:p>
      <w:pPr>
        <w:numPr>
          <w:ilvl w:val="0"/>
          <w:numId w:val="6"/>
        </w:numPr>
        <w:spacing w:line="360" w:lineRule="auto"/>
        <w:ind w:firstLine="0"/>
        <w:rPr>
          <w:rFonts w:ascii="宋体" w:hAnsi="宋体" w:cs="宋体"/>
          <w:kern w:val="0"/>
        </w:rPr>
      </w:pPr>
      <w:r>
        <w:rPr>
          <w:rFonts w:hint="eastAsia" w:ascii="宋体" w:hAnsi="宋体" w:cs="宋体"/>
          <w:kern w:val="0"/>
        </w:rPr>
        <w:t>兹经双方同意，对于经过医调委调解、法院判决或调解的案件，保险人必须认可医调委及法院的调解或判决结果，保险人据此根据本保单约定进行赔偿。</w:t>
      </w:r>
    </w:p>
    <w:p>
      <w:pPr>
        <w:numPr>
          <w:ilvl w:val="0"/>
          <w:numId w:val="6"/>
        </w:numPr>
        <w:spacing w:line="360" w:lineRule="auto"/>
        <w:ind w:firstLine="0"/>
        <w:rPr>
          <w:rFonts w:ascii="宋体" w:hAnsi="宋体" w:cs="宋体"/>
          <w:kern w:val="0"/>
        </w:rPr>
      </w:pPr>
      <w:r>
        <w:rPr>
          <w:rFonts w:hint="eastAsia" w:ascii="宋体" w:hAnsi="宋体" w:cs="宋体"/>
          <w:kern w:val="0"/>
        </w:rPr>
        <w:t>兹经双方同意，本保单保单基础为事故发生制索赔时效三年具体指事故发生在保险期间内，由患者向医院提出索赔的时间需在索赔时效截止日内，若保险事故协商、调解或判决过程中的等待时间超过本保单约定的索赔时效截止日，保险公司均认可该案件的存在并根据保单约定的责任和限额进行赔偿.</w:t>
      </w:r>
    </w:p>
    <w:p>
      <w:pPr>
        <w:numPr>
          <w:ilvl w:val="0"/>
          <w:numId w:val="6"/>
        </w:numPr>
        <w:spacing w:line="360" w:lineRule="auto"/>
        <w:ind w:firstLine="0"/>
        <w:rPr>
          <w:rFonts w:ascii="宋体" w:hAnsi="宋体" w:cs="宋体"/>
          <w:kern w:val="0"/>
        </w:rPr>
      </w:pPr>
      <w:r>
        <w:rPr>
          <w:rFonts w:hint="eastAsia" w:ascii="宋体" w:hAnsi="宋体" w:cs="宋体"/>
          <w:kern w:val="0"/>
        </w:rPr>
        <w:t>兹经双方同意，针对医调委、法院的调解或判定结果未明确区分医疗责任和医疗意外的案件类型，被保险人应本着实事求是的原则合理客观的向保险公司作出事故原因说明，并提供与本事故相关的医疗证明材料，保险人与被保险人之间将本着公平、客观合理的原则对案件达成一致处理意见，保险人以此协商结果依据本保单约定责任和限额进行赔偿。</w:t>
      </w:r>
    </w:p>
    <w:p>
      <w:pPr>
        <w:pStyle w:val="20"/>
        <w:numPr>
          <w:ilvl w:val="0"/>
          <w:numId w:val="6"/>
        </w:numPr>
        <w:spacing w:line="360" w:lineRule="auto"/>
        <w:ind w:firstLine="0" w:firstLineChars="0"/>
        <w:rPr>
          <w:rFonts w:ascii="宋体" w:hAnsi="宋体" w:cs="宋体"/>
          <w:kern w:val="0"/>
          <w:szCs w:val="20"/>
        </w:rPr>
      </w:pPr>
      <w:r>
        <w:rPr>
          <w:rFonts w:hint="eastAsia" w:ascii="宋体" w:hAnsi="宋体" w:cs="宋体"/>
          <w:kern w:val="0"/>
          <w:szCs w:val="20"/>
        </w:rPr>
        <w:t>特别约定如与主条款内容相悖之处，以本特别约定为准；未尽之处，以本保险方案为准。</w:t>
      </w:r>
    </w:p>
    <w:p>
      <w:pPr>
        <w:numPr>
          <w:ilvl w:val="0"/>
          <w:numId w:val="6"/>
        </w:numPr>
        <w:spacing w:line="360" w:lineRule="auto"/>
        <w:ind w:firstLine="0"/>
        <w:rPr>
          <w:rFonts w:ascii="宋体" w:hAnsi="宋体" w:cs="宋体"/>
          <w:kern w:val="0"/>
        </w:rPr>
      </w:pPr>
      <w:r>
        <w:rPr>
          <w:rFonts w:hint="eastAsia" w:ascii="宋体" w:hAnsi="宋体" w:cs="宋体"/>
          <w:kern w:val="0"/>
        </w:rPr>
        <w:t>司法管辖：中华人民共和国管辖（港澳台除外）</w:t>
      </w:r>
    </w:p>
    <w:p>
      <w:pPr>
        <w:numPr>
          <w:ilvl w:val="0"/>
          <w:numId w:val="6"/>
        </w:numPr>
        <w:spacing w:line="360" w:lineRule="auto"/>
        <w:ind w:firstLine="0"/>
        <w:rPr>
          <w:rFonts w:ascii="宋体" w:hAnsi="宋体" w:cs="宋体"/>
          <w:kern w:val="0"/>
        </w:rPr>
      </w:pPr>
      <w:r>
        <w:rPr>
          <w:rFonts w:hint="eastAsia" w:ascii="宋体" w:hAnsi="宋体" w:cs="宋体"/>
          <w:kern w:val="0"/>
        </w:rPr>
        <w:t>争议处理办法：因履行本保险合同发生争议，由当事人协商解决，协商不成，依法向人民法院起诉。</w:t>
      </w:r>
    </w:p>
    <w:p>
      <w:pPr>
        <w:numPr>
          <w:ilvl w:val="0"/>
          <w:numId w:val="1"/>
        </w:numPr>
        <w:adjustRightInd w:val="0"/>
        <w:snapToGrid w:val="0"/>
        <w:spacing w:line="360" w:lineRule="auto"/>
        <w:ind w:firstLine="0"/>
        <w:rPr>
          <w:rFonts w:ascii="宋体" w:hAnsi="宋体" w:cs="宋体"/>
          <w:b/>
          <w:bCs/>
        </w:rPr>
      </w:pPr>
      <w:r>
        <w:rPr>
          <w:rFonts w:hint="eastAsia" w:ascii="宋体" w:hAnsi="宋体" w:cs="宋体"/>
          <w:b/>
          <w:bCs/>
        </w:rPr>
        <w:t>报价要求</w:t>
      </w:r>
    </w:p>
    <w:p>
      <w:pPr>
        <w:numPr>
          <w:ilvl w:val="0"/>
          <w:numId w:val="7"/>
        </w:numPr>
        <w:adjustRightInd w:val="0"/>
        <w:snapToGrid w:val="0"/>
        <w:spacing w:line="360" w:lineRule="auto"/>
        <w:ind w:firstLine="0"/>
        <w:rPr>
          <w:rFonts w:ascii="宋体" w:hAnsi="宋体" w:cs="宋体"/>
        </w:rPr>
      </w:pPr>
      <w:r>
        <w:rPr>
          <w:rFonts w:hint="eastAsia" w:ascii="宋体" w:hAnsi="宋体" w:cs="宋体"/>
        </w:rPr>
        <w:t>报价应是包括全部项目的价格的总价，以人民币“元”作为货币单位。年保费总额不得超过20万元（含）。</w:t>
      </w:r>
    </w:p>
    <w:p>
      <w:pPr>
        <w:numPr>
          <w:ilvl w:val="0"/>
          <w:numId w:val="7"/>
        </w:numPr>
        <w:adjustRightInd w:val="0"/>
        <w:snapToGrid w:val="0"/>
        <w:spacing w:line="360" w:lineRule="auto"/>
        <w:ind w:firstLine="0"/>
        <w:rPr>
          <w:rFonts w:ascii="宋体" w:hAnsi="宋体" w:cs="宋体"/>
        </w:rPr>
      </w:pPr>
      <w:r>
        <w:rPr>
          <w:rFonts w:hint="eastAsia" w:ascii="宋体" w:hAnsi="宋体" w:cs="宋体"/>
        </w:rPr>
        <w:t>报价一览表：</w:t>
      </w:r>
    </w:p>
    <w:tbl>
      <w:tblPr>
        <w:tblStyle w:val="10"/>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96"/>
        <w:gridCol w:w="1714"/>
        <w:gridCol w:w="2105"/>
        <w:gridCol w:w="2305"/>
        <w:gridCol w:w="14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trPr>
        <w:tc>
          <w:tcPr>
            <w:tcW w:w="0" w:type="auto"/>
            <w:gridSpan w:val="5"/>
            <w:vAlign w:val="center"/>
          </w:tcPr>
          <w:p>
            <w:pPr>
              <w:widowControl/>
              <w:spacing w:line="360" w:lineRule="auto"/>
              <w:jc w:val="center"/>
              <w:rPr>
                <w:rFonts w:ascii="宋体" w:hAnsi="宋体" w:cs="宋体"/>
                <w:b/>
                <w:bCs/>
                <w:kern w:val="0"/>
              </w:rPr>
            </w:pPr>
            <w:r>
              <w:rPr>
                <w:rFonts w:hint="eastAsia" w:ascii="宋体" w:hAnsi="宋体" w:cs="宋体"/>
                <w:b/>
                <w:bCs/>
                <w:kern w:val="0"/>
              </w:rPr>
              <w:t>厦门市海沧医院医疗责任险报价表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1796" w:type="dxa"/>
            <w:tcBorders>
              <w:right w:val="single" w:color="auto" w:sz="4" w:space="0"/>
            </w:tcBorders>
            <w:vAlign w:val="center"/>
          </w:tcPr>
          <w:p>
            <w:pPr>
              <w:widowControl/>
              <w:spacing w:line="360" w:lineRule="auto"/>
              <w:jc w:val="center"/>
              <w:rPr>
                <w:rFonts w:ascii="宋体" w:hAnsi="宋体" w:cs="宋体"/>
                <w:b/>
                <w:bCs/>
                <w:kern w:val="0"/>
                <w:sz w:val="32"/>
                <w:szCs w:val="32"/>
              </w:rPr>
            </w:pPr>
            <w:r>
              <w:rPr>
                <w:rFonts w:hint="eastAsia" w:ascii="宋体" w:hAnsi="宋体" w:cs="宋体"/>
                <w:b/>
                <w:bCs/>
                <w:kern w:val="0"/>
              </w:rPr>
              <w:t>累计赔偿限额（万元）</w:t>
            </w:r>
          </w:p>
        </w:tc>
        <w:tc>
          <w:tcPr>
            <w:tcW w:w="1714" w:type="dxa"/>
            <w:tcBorders>
              <w:left w:val="single" w:color="auto" w:sz="4" w:space="0"/>
              <w:right w:val="single" w:color="auto" w:sz="4" w:space="0"/>
            </w:tcBorders>
            <w:vAlign w:val="center"/>
          </w:tcPr>
          <w:p>
            <w:pPr>
              <w:widowControl/>
              <w:spacing w:line="360" w:lineRule="auto"/>
              <w:jc w:val="center"/>
              <w:rPr>
                <w:rFonts w:ascii="宋体" w:hAnsi="宋体" w:cs="宋体"/>
                <w:b/>
                <w:bCs/>
              </w:rPr>
            </w:pPr>
            <w:r>
              <w:rPr>
                <w:rFonts w:hint="eastAsia" w:ascii="宋体" w:hAnsi="宋体" w:cs="宋体"/>
                <w:b/>
                <w:bCs/>
              </w:rPr>
              <w:t>医疗责任累计赔偿限额</w:t>
            </w:r>
          </w:p>
          <w:p>
            <w:pPr>
              <w:widowControl/>
              <w:spacing w:line="360" w:lineRule="auto"/>
              <w:jc w:val="center"/>
              <w:rPr>
                <w:rFonts w:ascii="宋体" w:hAnsi="宋体" w:cs="宋体"/>
                <w:b/>
                <w:bCs/>
                <w:kern w:val="0"/>
              </w:rPr>
            </w:pPr>
            <w:r>
              <w:rPr>
                <w:rFonts w:hint="eastAsia" w:ascii="宋体" w:hAnsi="宋体" w:cs="宋体"/>
                <w:b/>
                <w:bCs/>
              </w:rPr>
              <w:t>（万元）</w:t>
            </w:r>
          </w:p>
        </w:tc>
        <w:tc>
          <w:tcPr>
            <w:tcW w:w="2105" w:type="dxa"/>
            <w:tcBorders>
              <w:left w:val="single" w:color="auto" w:sz="4" w:space="0"/>
              <w:right w:val="single" w:color="auto" w:sz="4" w:space="0"/>
            </w:tcBorders>
            <w:vAlign w:val="center"/>
          </w:tcPr>
          <w:p>
            <w:pPr>
              <w:widowControl/>
              <w:spacing w:line="360" w:lineRule="auto"/>
              <w:jc w:val="center"/>
              <w:rPr>
                <w:rFonts w:ascii="宋体" w:hAnsi="宋体" w:cs="宋体"/>
                <w:b/>
                <w:bCs/>
                <w:kern w:val="0"/>
              </w:rPr>
            </w:pPr>
            <w:r>
              <w:rPr>
                <w:rFonts w:hint="eastAsia" w:ascii="宋体" w:hAnsi="宋体" w:cs="宋体"/>
                <w:b/>
                <w:bCs/>
              </w:rPr>
              <w:t>医疗机构场所责任累计赔偿限额（万元）</w:t>
            </w:r>
          </w:p>
        </w:tc>
        <w:tc>
          <w:tcPr>
            <w:tcW w:w="2305" w:type="dxa"/>
            <w:tcBorders>
              <w:left w:val="single" w:color="auto" w:sz="4" w:space="0"/>
            </w:tcBorders>
            <w:vAlign w:val="center"/>
          </w:tcPr>
          <w:p>
            <w:pPr>
              <w:widowControl/>
              <w:spacing w:line="360" w:lineRule="auto"/>
              <w:jc w:val="center"/>
              <w:rPr>
                <w:rFonts w:ascii="宋体" w:hAnsi="宋体" w:cs="宋体"/>
                <w:b/>
                <w:bCs/>
              </w:rPr>
            </w:pPr>
            <w:r>
              <w:rPr>
                <w:rFonts w:hint="eastAsia" w:ascii="宋体" w:hAnsi="宋体" w:cs="宋体"/>
                <w:b/>
                <w:bCs/>
              </w:rPr>
              <w:t>医务人员意外累计赔偿限额</w:t>
            </w:r>
          </w:p>
          <w:p>
            <w:pPr>
              <w:widowControl/>
              <w:spacing w:line="360" w:lineRule="auto"/>
              <w:jc w:val="center"/>
              <w:rPr>
                <w:rFonts w:ascii="宋体" w:hAnsi="宋体" w:cs="宋体"/>
                <w:b/>
                <w:bCs/>
                <w:kern w:val="0"/>
              </w:rPr>
            </w:pPr>
            <w:r>
              <w:rPr>
                <w:rFonts w:hint="eastAsia" w:ascii="宋体" w:hAnsi="宋体" w:cs="宋体"/>
                <w:b/>
                <w:bCs/>
              </w:rPr>
              <w:t>（万元）</w:t>
            </w:r>
          </w:p>
        </w:tc>
        <w:tc>
          <w:tcPr>
            <w:tcW w:w="1472" w:type="dxa"/>
            <w:vAlign w:val="center"/>
          </w:tcPr>
          <w:p>
            <w:pPr>
              <w:widowControl/>
              <w:spacing w:line="360" w:lineRule="auto"/>
              <w:jc w:val="center"/>
              <w:rPr>
                <w:rFonts w:ascii="宋体" w:hAnsi="宋体" w:cs="宋体"/>
                <w:b/>
                <w:bCs/>
                <w:kern w:val="0"/>
              </w:rPr>
            </w:pPr>
            <w:r>
              <w:rPr>
                <w:rFonts w:hint="eastAsia" w:ascii="宋体" w:hAnsi="宋体" w:cs="宋体"/>
                <w:b/>
                <w:bCs/>
                <w:kern w:val="0"/>
              </w:rPr>
              <w:t>年保费</w:t>
            </w:r>
          </w:p>
          <w:p>
            <w:pPr>
              <w:widowControl/>
              <w:spacing w:line="360" w:lineRule="auto"/>
              <w:jc w:val="center"/>
              <w:rPr>
                <w:rFonts w:ascii="宋体" w:hAnsi="宋体" w:cs="宋体"/>
                <w:b/>
                <w:bCs/>
                <w:kern w:val="0"/>
              </w:rPr>
            </w:pPr>
            <w:r>
              <w:rPr>
                <w:rFonts w:hint="eastAsia" w:ascii="宋体" w:hAnsi="宋体" w:cs="宋体"/>
                <w:b/>
                <w:bCs/>
                <w:kern w:val="0"/>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atLeast"/>
        </w:trPr>
        <w:tc>
          <w:tcPr>
            <w:tcW w:w="1796" w:type="dxa"/>
            <w:tcBorders>
              <w:right w:val="single" w:color="auto" w:sz="4" w:space="0"/>
            </w:tcBorders>
            <w:vAlign w:val="center"/>
          </w:tcPr>
          <w:p>
            <w:pPr>
              <w:widowControl/>
              <w:spacing w:line="360" w:lineRule="auto"/>
              <w:jc w:val="center"/>
              <w:rPr>
                <w:rFonts w:ascii="宋体" w:hAnsi="宋体" w:cs="宋体"/>
                <w:kern w:val="0"/>
              </w:rPr>
            </w:pPr>
          </w:p>
        </w:tc>
        <w:tc>
          <w:tcPr>
            <w:tcW w:w="1714" w:type="dxa"/>
            <w:tcBorders>
              <w:left w:val="single" w:color="auto" w:sz="4" w:space="0"/>
              <w:right w:val="single" w:color="auto" w:sz="4" w:space="0"/>
            </w:tcBorders>
            <w:vAlign w:val="center"/>
          </w:tcPr>
          <w:p>
            <w:pPr>
              <w:widowControl/>
              <w:spacing w:line="360" w:lineRule="auto"/>
              <w:jc w:val="center"/>
              <w:rPr>
                <w:rFonts w:ascii="宋体" w:hAnsi="宋体" w:cs="宋体"/>
                <w:kern w:val="0"/>
              </w:rPr>
            </w:pPr>
          </w:p>
        </w:tc>
        <w:tc>
          <w:tcPr>
            <w:tcW w:w="2105" w:type="dxa"/>
            <w:tcBorders>
              <w:left w:val="single" w:color="auto" w:sz="4" w:space="0"/>
              <w:right w:val="single" w:color="auto" w:sz="4" w:space="0"/>
            </w:tcBorders>
            <w:vAlign w:val="center"/>
          </w:tcPr>
          <w:p>
            <w:pPr>
              <w:widowControl/>
              <w:spacing w:line="360" w:lineRule="auto"/>
              <w:jc w:val="center"/>
              <w:rPr>
                <w:rFonts w:ascii="宋体" w:hAnsi="宋体" w:cs="宋体"/>
                <w:kern w:val="0"/>
              </w:rPr>
            </w:pPr>
          </w:p>
        </w:tc>
        <w:tc>
          <w:tcPr>
            <w:tcW w:w="2305" w:type="dxa"/>
            <w:tcBorders>
              <w:left w:val="single" w:color="auto" w:sz="4" w:space="0"/>
            </w:tcBorders>
            <w:vAlign w:val="center"/>
          </w:tcPr>
          <w:p>
            <w:pPr>
              <w:widowControl/>
              <w:spacing w:line="360" w:lineRule="auto"/>
              <w:jc w:val="center"/>
              <w:rPr>
                <w:rFonts w:ascii="宋体" w:hAnsi="宋体" w:cs="宋体"/>
                <w:kern w:val="0"/>
              </w:rPr>
            </w:pPr>
          </w:p>
        </w:tc>
        <w:tc>
          <w:tcPr>
            <w:tcW w:w="1472" w:type="dxa"/>
            <w:vAlign w:val="center"/>
          </w:tcPr>
          <w:p>
            <w:pPr>
              <w:widowControl/>
              <w:spacing w:line="360" w:lineRule="auto"/>
              <w:jc w:val="center"/>
              <w:rPr>
                <w:rFonts w:ascii="宋体" w:hAnsi="宋体" w:cs="宋体"/>
                <w:kern w:val="0"/>
              </w:rPr>
            </w:pPr>
          </w:p>
        </w:tc>
      </w:tr>
    </w:tbl>
    <w:p>
      <w:pPr>
        <w:numPr>
          <w:ilvl w:val="0"/>
          <w:numId w:val="1"/>
        </w:numPr>
        <w:adjustRightInd w:val="0"/>
        <w:snapToGrid w:val="0"/>
        <w:spacing w:line="360" w:lineRule="auto"/>
        <w:ind w:firstLine="0"/>
        <w:rPr>
          <w:rFonts w:ascii="宋体" w:hAnsi="宋体" w:cs="宋体"/>
          <w:b/>
          <w:bCs/>
        </w:rPr>
      </w:pPr>
      <w:r>
        <w:rPr>
          <w:rFonts w:hint="eastAsia" w:ascii="宋体" w:hAnsi="宋体" w:cs="宋体"/>
          <w:b/>
          <w:bCs/>
        </w:rPr>
        <w:t>提供材料</w:t>
      </w:r>
    </w:p>
    <w:p>
      <w:pPr>
        <w:widowControl/>
        <w:numPr>
          <w:ilvl w:val="0"/>
          <w:numId w:val="8"/>
        </w:numPr>
        <w:tabs>
          <w:tab w:val="left" w:pos="1080"/>
        </w:tabs>
        <w:spacing w:line="360" w:lineRule="auto"/>
        <w:ind w:firstLine="0"/>
        <w:jc w:val="left"/>
        <w:rPr>
          <w:rFonts w:ascii="宋体" w:hAnsi="宋体" w:cs="宋体"/>
          <w:color w:val="000000"/>
          <w:kern w:val="0"/>
        </w:rPr>
      </w:pPr>
      <w:r>
        <w:rPr>
          <w:rFonts w:hint="eastAsia" w:ascii="宋体" w:hAnsi="宋体" w:cs="宋体"/>
        </w:rPr>
        <w:t>投标单位</w:t>
      </w:r>
      <w:r>
        <w:rPr>
          <w:rFonts w:hint="eastAsia" w:ascii="宋体" w:hAnsi="宋体" w:cs="宋体"/>
          <w:color w:val="000000"/>
          <w:kern w:val="0"/>
        </w:rPr>
        <w:t>营业执照、税务登记证、组织机构代码证复印件（如三证合一，只需提供营业执照）、保险业务许可证；</w:t>
      </w:r>
    </w:p>
    <w:p>
      <w:pPr>
        <w:widowControl/>
        <w:numPr>
          <w:ilvl w:val="0"/>
          <w:numId w:val="8"/>
        </w:numPr>
        <w:tabs>
          <w:tab w:val="left" w:pos="1080"/>
        </w:tabs>
        <w:spacing w:line="360" w:lineRule="auto"/>
        <w:ind w:firstLine="0"/>
        <w:jc w:val="left"/>
        <w:rPr>
          <w:rFonts w:ascii="宋体" w:hAnsi="宋体" w:cs="宋体"/>
        </w:rPr>
      </w:pPr>
      <w:r>
        <w:rPr>
          <w:rFonts w:hint="eastAsia" w:ascii="宋体" w:hAnsi="宋体" w:cs="宋体"/>
        </w:rPr>
        <w:t>投标单位给业务代表的授权书、业务代表身份证复印件；</w:t>
      </w:r>
    </w:p>
    <w:p>
      <w:pPr>
        <w:widowControl/>
        <w:numPr>
          <w:ilvl w:val="0"/>
          <w:numId w:val="8"/>
        </w:numPr>
        <w:tabs>
          <w:tab w:val="left" w:pos="1080"/>
        </w:tabs>
        <w:spacing w:line="360" w:lineRule="auto"/>
        <w:ind w:firstLine="0"/>
        <w:jc w:val="left"/>
        <w:rPr>
          <w:rFonts w:ascii="宋体" w:hAnsi="宋体" w:cs="宋体"/>
        </w:rPr>
      </w:pPr>
      <w:r>
        <w:rPr>
          <w:rFonts w:hint="eastAsia" w:ascii="宋体" w:hAnsi="宋体" w:cs="宋体"/>
        </w:rPr>
        <w:t>报价单、保险方案；</w:t>
      </w:r>
    </w:p>
    <w:p>
      <w:pPr>
        <w:widowControl/>
        <w:numPr>
          <w:ilvl w:val="0"/>
          <w:numId w:val="8"/>
        </w:numPr>
        <w:tabs>
          <w:tab w:val="left" w:pos="1080"/>
        </w:tabs>
        <w:spacing w:line="360" w:lineRule="auto"/>
        <w:ind w:firstLine="0"/>
        <w:jc w:val="left"/>
        <w:rPr>
          <w:rFonts w:ascii="宋体" w:hAnsi="宋体" w:cs="宋体"/>
        </w:rPr>
      </w:pPr>
      <w:r>
        <w:rPr>
          <w:rFonts w:hint="eastAsia" w:ascii="宋体" w:hAnsi="宋体" w:cs="宋体"/>
        </w:rPr>
        <w:t>2017-2021年厦门地区二级以上公立医疗机构医疗责任险保单复印件；</w:t>
      </w:r>
    </w:p>
    <w:p>
      <w:pPr>
        <w:widowControl/>
        <w:tabs>
          <w:tab w:val="left" w:pos="1080"/>
        </w:tabs>
        <w:spacing w:line="360" w:lineRule="auto"/>
        <w:ind w:firstLine="460" w:firstLineChars="192"/>
        <w:jc w:val="left"/>
        <w:rPr>
          <w:rFonts w:ascii="宋体" w:hAnsi="宋体" w:cs="宋体"/>
        </w:rPr>
      </w:pPr>
      <w:r>
        <w:rPr>
          <w:rFonts w:hint="eastAsia" w:ascii="宋体" w:hAnsi="宋体" w:cs="宋体"/>
        </w:rPr>
        <w:t>以上每份文件应有投标单位盖章。</w:t>
      </w:r>
    </w:p>
    <w:p>
      <w:pPr>
        <w:spacing w:line="360" w:lineRule="auto"/>
        <w:ind w:firstLine="1830"/>
        <w:jc w:val="right"/>
        <w:rPr>
          <w:rFonts w:ascii="宋体" w:hAnsi="宋体" w:cs="宋体"/>
        </w:rPr>
      </w:pPr>
    </w:p>
    <w:sectPr>
      <w:footerReference r:id="rId3" w:type="default"/>
      <w:pgSz w:w="11906" w:h="16838"/>
      <w:pgMar w:top="1701"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 MERGEFORMAT </w:instrText>
    </w:r>
    <w:r>
      <w:fldChar w:fldCharType="separate"/>
    </w:r>
    <w:r>
      <w:rPr>
        <w:lang w:val="zh-CN"/>
      </w:rPr>
      <w:t>4</w:t>
    </w:r>
    <w:r>
      <w:rPr>
        <w:lang w:val="zh-CN"/>
      </w:rPr>
      <w:fldChar w:fldCharType="end"/>
    </w:r>
  </w:p>
  <w:p>
    <w:pPr>
      <w:pStyle w:val="8"/>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ECC4B2"/>
    <w:multiLevelType w:val="singleLevel"/>
    <w:tmpl w:val="93ECC4B2"/>
    <w:lvl w:ilvl="0" w:tentative="0">
      <w:start w:val="1"/>
      <w:numFmt w:val="chineseCounting"/>
      <w:suff w:val="nothing"/>
      <w:lvlText w:val="%1、"/>
      <w:lvlJc w:val="left"/>
      <w:pPr>
        <w:ind w:left="0" w:firstLine="420"/>
      </w:pPr>
      <w:rPr>
        <w:rFonts w:hint="eastAsia"/>
      </w:rPr>
    </w:lvl>
  </w:abstractNum>
  <w:abstractNum w:abstractNumId="1">
    <w:nsid w:val="C525A0A5"/>
    <w:multiLevelType w:val="singleLevel"/>
    <w:tmpl w:val="C525A0A5"/>
    <w:lvl w:ilvl="0" w:tentative="0">
      <w:start w:val="1"/>
      <w:numFmt w:val="decimal"/>
      <w:suff w:val="nothing"/>
      <w:lvlText w:val="%1．"/>
      <w:lvlJc w:val="left"/>
      <w:pPr>
        <w:ind w:left="0" w:firstLine="400"/>
      </w:pPr>
      <w:rPr>
        <w:rFonts w:hint="default"/>
      </w:rPr>
    </w:lvl>
  </w:abstractNum>
  <w:abstractNum w:abstractNumId="2">
    <w:nsid w:val="D2155BAC"/>
    <w:multiLevelType w:val="singleLevel"/>
    <w:tmpl w:val="D2155BAC"/>
    <w:lvl w:ilvl="0" w:tentative="0">
      <w:start w:val="1"/>
      <w:numFmt w:val="decimal"/>
      <w:lvlText w:val="(%1)"/>
      <w:lvlJc w:val="left"/>
      <w:pPr>
        <w:ind w:left="425" w:hanging="425"/>
      </w:pPr>
      <w:rPr>
        <w:rFonts w:hint="default"/>
      </w:rPr>
    </w:lvl>
  </w:abstractNum>
  <w:abstractNum w:abstractNumId="3">
    <w:nsid w:val="F1979AF4"/>
    <w:multiLevelType w:val="singleLevel"/>
    <w:tmpl w:val="F1979AF4"/>
    <w:lvl w:ilvl="0" w:tentative="0">
      <w:start w:val="1"/>
      <w:numFmt w:val="decimal"/>
      <w:suff w:val="nothing"/>
      <w:lvlText w:val="%1．"/>
      <w:lvlJc w:val="left"/>
      <w:pPr>
        <w:ind w:left="0" w:firstLine="400"/>
      </w:pPr>
      <w:rPr>
        <w:rFonts w:hint="default"/>
      </w:rPr>
    </w:lvl>
  </w:abstractNum>
  <w:abstractNum w:abstractNumId="4">
    <w:nsid w:val="236A5966"/>
    <w:multiLevelType w:val="singleLevel"/>
    <w:tmpl w:val="236A5966"/>
    <w:lvl w:ilvl="0" w:tentative="0">
      <w:start w:val="1"/>
      <w:numFmt w:val="decimal"/>
      <w:lvlText w:val="%1."/>
      <w:lvlJc w:val="left"/>
      <w:pPr>
        <w:ind w:left="425" w:hanging="425"/>
      </w:pPr>
      <w:rPr>
        <w:rFonts w:hint="default"/>
      </w:rPr>
    </w:lvl>
  </w:abstractNum>
  <w:abstractNum w:abstractNumId="5">
    <w:nsid w:val="2C83D641"/>
    <w:multiLevelType w:val="singleLevel"/>
    <w:tmpl w:val="2C83D641"/>
    <w:lvl w:ilvl="0" w:tentative="0">
      <w:start w:val="1"/>
      <w:numFmt w:val="decimal"/>
      <w:suff w:val="nothing"/>
      <w:lvlText w:val="%1．"/>
      <w:lvlJc w:val="left"/>
      <w:pPr>
        <w:ind w:left="0" w:firstLine="400"/>
      </w:pPr>
      <w:rPr>
        <w:rFonts w:hint="default"/>
      </w:rPr>
    </w:lvl>
  </w:abstractNum>
  <w:abstractNum w:abstractNumId="6">
    <w:nsid w:val="5760C00A"/>
    <w:multiLevelType w:val="singleLevel"/>
    <w:tmpl w:val="5760C00A"/>
    <w:lvl w:ilvl="0" w:tentative="0">
      <w:start w:val="1"/>
      <w:numFmt w:val="chineseCounting"/>
      <w:suff w:val="nothing"/>
      <w:lvlText w:val="（%1）"/>
      <w:lvlJc w:val="left"/>
    </w:lvl>
  </w:abstractNum>
  <w:abstractNum w:abstractNumId="7">
    <w:nsid w:val="5760C2DF"/>
    <w:multiLevelType w:val="singleLevel"/>
    <w:tmpl w:val="5760C2DF"/>
    <w:lvl w:ilvl="0" w:tentative="0">
      <w:start w:val="1"/>
      <w:numFmt w:val="decimal"/>
      <w:suff w:val="nothing"/>
      <w:lvlText w:val="（%1）"/>
      <w:lvlJc w:val="left"/>
    </w:lvl>
  </w:abstractNum>
  <w:num w:numId="1">
    <w:abstractNumId w:val="0"/>
  </w:num>
  <w:num w:numId="2">
    <w:abstractNumId w:val="6"/>
  </w:num>
  <w:num w:numId="3">
    <w:abstractNumId w:val="4"/>
  </w:num>
  <w:num w:numId="4">
    <w:abstractNumId w:val="7"/>
  </w:num>
  <w:num w:numId="5">
    <w:abstractNumId w:val="2"/>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0C6"/>
    <w:rsid w:val="00014523"/>
    <w:rsid w:val="00017A56"/>
    <w:rsid w:val="00035586"/>
    <w:rsid w:val="00057395"/>
    <w:rsid w:val="00064834"/>
    <w:rsid w:val="00064FDF"/>
    <w:rsid w:val="00073D53"/>
    <w:rsid w:val="00082A4A"/>
    <w:rsid w:val="00084BE6"/>
    <w:rsid w:val="000856E0"/>
    <w:rsid w:val="00092FA2"/>
    <w:rsid w:val="0009508A"/>
    <w:rsid w:val="000A0D45"/>
    <w:rsid w:val="000B2CEE"/>
    <w:rsid w:val="000C0E16"/>
    <w:rsid w:val="000C2264"/>
    <w:rsid w:val="000C7B9E"/>
    <w:rsid w:val="000C7E8E"/>
    <w:rsid w:val="000D7309"/>
    <w:rsid w:val="000E2EF7"/>
    <w:rsid w:val="000E59D3"/>
    <w:rsid w:val="000E6BB7"/>
    <w:rsid w:val="000F40C0"/>
    <w:rsid w:val="000F5455"/>
    <w:rsid w:val="000F6878"/>
    <w:rsid w:val="00103126"/>
    <w:rsid w:val="00103178"/>
    <w:rsid w:val="00107079"/>
    <w:rsid w:val="00113D4A"/>
    <w:rsid w:val="001143F3"/>
    <w:rsid w:val="00117FAD"/>
    <w:rsid w:val="00127381"/>
    <w:rsid w:val="00151EC0"/>
    <w:rsid w:val="00152B3A"/>
    <w:rsid w:val="0016055B"/>
    <w:rsid w:val="001623B9"/>
    <w:rsid w:val="00166630"/>
    <w:rsid w:val="001714E4"/>
    <w:rsid w:val="00171B1A"/>
    <w:rsid w:val="00173880"/>
    <w:rsid w:val="001A2620"/>
    <w:rsid w:val="001B1891"/>
    <w:rsid w:val="001B403E"/>
    <w:rsid w:val="001C5C80"/>
    <w:rsid w:val="001D2832"/>
    <w:rsid w:val="001D487A"/>
    <w:rsid w:val="001D654F"/>
    <w:rsid w:val="001E1B8F"/>
    <w:rsid w:val="001E280A"/>
    <w:rsid w:val="001E3FE7"/>
    <w:rsid w:val="001E69B9"/>
    <w:rsid w:val="001E70EB"/>
    <w:rsid w:val="00213E55"/>
    <w:rsid w:val="00230036"/>
    <w:rsid w:val="0026740D"/>
    <w:rsid w:val="00273AF7"/>
    <w:rsid w:val="0028161A"/>
    <w:rsid w:val="002A52EE"/>
    <w:rsid w:val="002A549D"/>
    <w:rsid w:val="002A744F"/>
    <w:rsid w:val="002C235A"/>
    <w:rsid w:val="002D5860"/>
    <w:rsid w:val="002D6A85"/>
    <w:rsid w:val="002D7480"/>
    <w:rsid w:val="002E1DDB"/>
    <w:rsid w:val="002F01B4"/>
    <w:rsid w:val="002F04B6"/>
    <w:rsid w:val="003008C3"/>
    <w:rsid w:val="00302B38"/>
    <w:rsid w:val="00317DF5"/>
    <w:rsid w:val="00333D63"/>
    <w:rsid w:val="00340203"/>
    <w:rsid w:val="0034346E"/>
    <w:rsid w:val="00344811"/>
    <w:rsid w:val="003463AE"/>
    <w:rsid w:val="003663AC"/>
    <w:rsid w:val="00376892"/>
    <w:rsid w:val="00377967"/>
    <w:rsid w:val="00380619"/>
    <w:rsid w:val="0038178C"/>
    <w:rsid w:val="00384631"/>
    <w:rsid w:val="00390E07"/>
    <w:rsid w:val="003953B8"/>
    <w:rsid w:val="00396291"/>
    <w:rsid w:val="003B326E"/>
    <w:rsid w:val="003D359F"/>
    <w:rsid w:val="003E2492"/>
    <w:rsid w:val="003F2D96"/>
    <w:rsid w:val="003F3AE8"/>
    <w:rsid w:val="00402136"/>
    <w:rsid w:val="004109B6"/>
    <w:rsid w:val="0041201A"/>
    <w:rsid w:val="00413D2D"/>
    <w:rsid w:val="004142C7"/>
    <w:rsid w:val="00421A07"/>
    <w:rsid w:val="00421A09"/>
    <w:rsid w:val="0043341A"/>
    <w:rsid w:val="00442830"/>
    <w:rsid w:val="004630B9"/>
    <w:rsid w:val="00464AFB"/>
    <w:rsid w:val="004714D6"/>
    <w:rsid w:val="00473739"/>
    <w:rsid w:val="004878D2"/>
    <w:rsid w:val="004929B7"/>
    <w:rsid w:val="00496794"/>
    <w:rsid w:val="004A5BE0"/>
    <w:rsid w:val="004B50C6"/>
    <w:rsid w:val="004B6091"/>
    <w:rsid w:val="004C0336"/>
    <w:rsid w:val="004D50CA"/>
    <w:rsid w:val="004E4E77"/>
    <w:rsid w:val="004E6485"/>
    <w:rsid w:val="004F3EE7"/>
    <w:rsid w:val="004F77D2"/>
    <w:rsid w:val="00507782"/>
    <w:rsid w:val="005125BB"/>
    <w:rsid w:val="00533393"/>
    <w:rsid w:val="00533C39"/>
    <w:rsid w:val="0053684B"/>
    <w:rsid w:val="00541CC6"/>
    <w:rsid w:val="005446E2"/>
    <w:rsid w:val="005621F9"/>
    <w:rsid w:val="00564F15"/>
    <w:rsid w:val="00565844"/>
    <w:rsid w:val="00567EA8"/>
    <w:rsid w:val="0057078D"/>
    <w:rsid w:val="0057476D"/>
    <w:rsid w:val="00574C10"/>
    <w:rsid w:val="00597A42"/>
    <w:rsid w:val="005A2E83"/>
    <w:rsid w:val="005B0FB1"/>
    <w:rsid w:val="005B7984"/>
    <w:rsid w:val="005C297B"/>
    <w:rsid w:val="005C4BF6"/>
    <w:rsid w:val="005D5726"/>
    <w:rsid w:val="005D61B9"/>
    <w:rsid w:val="005D6F42"/>
    <w:rsid w:val="005F12C7"/>
    <w:rsid w:val="005F29CA"/>
    <w:rsid w:val="006004C0"/>
    <w:rsid w:val="00627A04"/>
    <w:rsid w:val="006529ED"/>
    <w:rsid w:val="00660196"/>
    <w:rsid w:val="00662A1E"/>
    <w:rsid w:val="006670D3"/>
    <w:rsid w:val="00674ADC"/>
    <w:rsid w:val="006813BF"/>
    <w:rsid w:val="006A3D59"/>
    <w:rsid w:val="006C09AC"/>
    <w:rsid w:val="006D1A49"/>
    <w:rsid w:val="006D2CD3"/>
    <w:rsid w:val="006D3EF1"/>
    <w:rsid w:val="006E336F"/>
    <w:rsid w:val="006F56A2"/>
    <w:rsid w:val="006F6FD5"/>
    <w:rsid w:val="00700BBA"/>
    <w:rsid w:val="00701715"/>
    <w:rsid w:val="00701EF2"/>
    <w:rsid w:val="00710862"/>
    <w:rsid w:val="00724F87"/>
    <w:rsid w:val="00727695"/>
    <w:rsid w:val="00732A4B"/>
    <w:rsid w:val="0073592C"/>
    <w:rsid w:val="0074131A"/>
    <w:rsid w:val="0075065A"/>
    <w:rsid w:val="0076176F"/>
    <w:rsid w:val="00761F29"/>
    <w:rsid w:val="00770316"/>
    <w:rsid w:val="007A4295"/>
    <w:rsid w:val="007B0EB5"/>
    <w:rsid w:val="007B2236"/>
    <w:rsid w:val="007C18D4"/>
    <w:rsid w:val="007F0B4E"/>
    <w:rsid w:val="007F188A"/>
    <w:rsid w:val="007F3E4F"/>
    <w:rsid w:val="007F7F1D"/>
    <w:rsid w:val="008145B7"/>
    <w:rsid w:val="00816E34"/>
    <w:rsid w:val="00817078"/>
    <w:rsid w:val="00817924"/>
    <w:rsid w:val="00833A75"/>
    <w:rsid w:val="00837EC4"/>
    <w:rsid w:val="00845B9C"/>
    <w:rsid w:val="008500E1"/>
    <w:rsid w:val="00851059"/>
    <w:rsid w:val="00856B3C"/>
    <w:rsid w:val="008634C2"/>
    <w:rsid w:val="00864B8A"/>
    <w:rsid w:val="0087056E"/>
    <w:rsid w:val="00870868"/>
    <w:rsid w:val="00880DA6"/>
    <w:rsid w:val="008819B9"/>
    <w:rsid w:val="008B00E4"/>
    <w:rsid w:val="008C140D"/>
    <w:rsid w:val="008D2C33"/>
    <w:rsid w:val="008D34B0"/>
    <w:rsid w:val="008D5957"/>
    <w:rsid w:val="008E282E"/>
    <w:rsid w:val="008F046C"/>
    <w:rsid w:val="008F7BCE"/>
    <w:rsid w:val="00902940"/>
    <w:rsid w:val="009157C5"/>
    <w:rsid w:val="00916431"/>
    <w:rsid w:val="00917675"/>
    <w:rsid w:val="00920E1C"/>
    <w:rsid w:val="00931F65"/>
    <w:rsid w:val="00946290"/>
    <w:rsid w:val="00946782"/>
    <w:rsid w:val="00953AA6"/>
    <w:rsid w:val="009543E5"/>
    <w:rsid w:val="00964965"/>
    <w:rsid w:val="00964A0E"/>
    <w:rsid w:val="0097608F"/>
    <w:rsid w:val="009878FF"/>
    <w:rsid w:val="00994EA5"/>
    <w:rsid w:val="009A6B31"/>
    <w:rsid w:val="009C0C8A"/>
    <w:rsid w:val="009C1F04"/>
    <w:rsid w:val="009C3834"/>
    <w:rsid w:val="009C568B"/>
    <w:rsid w:val="009C5C3A"/>
    <w:rsid w:val="009F1E64"/>
    <w:rsid w:val="009F54CA"/>
    <w:rsid w:val="00A00E3D"/>
    <w:rsid w:val="00A0365D"/>
    <w:rsid w:val="00A12A3A"/>
    <w:rsid w:val="00A17579"/>
    <w:rsid w:val="00A241AE"/>
    <w:rsid w:val="00A265CD"/>
    <w:rsid w:val="00A31D32"/>
    <w:rsid w:val="00A45F6E"/>
    <w:rsid w:val="00A57507"/>
    <w:rsid w:val="00A65C54"/>
    <w:rsid w:val="00A71231"/>
    <w:rsid w:val="00A71AA9"/>
    <w:rsid w:val="00A7383B"/>
    <w:rsid w:val="00A85EBB"/>
    <w:rsid w:val="00A94950"/>
    <w:rsid w:val="00A96780"/>
    <w:rsid w:val="00AA6121"/>
    <w:rsid w:val="00AB6E64"/>
    <w:rsid w:val="00AC39B6"/>
    <w:rsid w:val="00AD7047"/>
    <w:rsid w:val="00AD7ED2"/>
    <w:rsid w:val="00B02D1F"/>
    <w:rsid w:val="00B404B0"/>
    <w:rsid w:val="00B40A55"/>
    <w:rsid w:val="00B43D0E"/>
    <w:rsid w:val="00B45563"/>
    <w:rsid w:val="00B54D38"/>
    <w:rsid w:val="00B572AA"/>
    <w:rsid w:val="00B63825"/>
    <w:rsid w:val="00B65F8C"/>
    <w:rsid w:val="00B713AD"/>
    <w:rsid w:val="00B71FD4"/>
    <w:rsid w:val="00B72D14"/>
    <w:rsid w:val="00B862DA"/>
    <w:rsid w:val="00BA2BA6"/>
    <w:rsid w:val="00BB67D0"/>
    <w:rsid w:val="00BC4351"/>
    <w:rsid w:val="00BE16F7"/>
    <w:rsid w:val="00BE183C"/>
    <w:rsid w:val="00BE25BA"/>
    <w:rsid w:val="00BE5114"/>
    <w:rsid w:val="00BE656F"/>
    <w:rsid w:val="00BE6AA6"/>
    <w:rsid w:val="00BE744A"/>
    <w:rsid w:val="00BF4A2E"/>
    <w:rsid w:val="00BF4F42"/>
    <w:rsid w:val="00C30FDC"/>
    <w:rsid w:val="00C31F0F"/>
    <w:rsid w:val="00C43597"/>
    <w:rsid w:val="00C5099A"/>
    <w:rsid w:val="00C65AC2"/>
    <w:rsid w:val="00C6742B"/>
    <w:rsid w:val="00C67CC1"/>
    <w:rsid w:val="00C7758B"/>
    <w:rsid w:val="00C8471E"/>
    <w:rsid w:val="00C85559"/>
    <w:rsid w:val="00C90574"/>
    <w:rsid w:val="00C96FDE"/>
    <w:rsid w:val="00CB6726"/>
    <w:rsid w:val="00CD53FA"/>
    <w:rsid w:val="00CE09D1"/>
    <w:rsid w:val="00CE7FDA"/>
    <w:rsid w:val="00D007E0"/>
    <w:rsid w:val="00D10340"/>
    <w:rsid w:val="00D20B4F"/>
    <w:rsid w:val="00D35A9B"/>
    <w:rsid w:val="00D42E3B"/>
    <w:rsid w:val="00D45331"/>
    <w:rsid w:val="00D544C8"/>
    <w:rsid w:val="00D575AE"/>
    <w:rsid w:val="00D65BCD"/>
    <w:rsid w:val="00D71401"/>
    <w:rsid w:val="00D82602"/>
    <w:rsid w:val="00D8393E"/>
    <w:rsid w:val="00D94D54"/>
    <w:rsid w:val="00DA36DB"/>
    <w:rsid w:val="00DA594F"/>
    <w:rsid w:val="00DB42FD"/>
    <w:rsid w:val="00DB4495"/>
    <w:rsid w:val="00DB734E"/>
    <w:rsid w:val="00DC2856"/>
    <w:rsid w:val="00DF060C"/>
    <w:rsid w:val="00DF41B1"/>
    <w:rsid w:val="00E03324"/>
    <w:rsid w:val="00E05435"/>
    <w:rsid w:val="00E07097"/>
    <w:rsid w:val="00E12423"/>
    <w:rsid w:val="00E1287D"/>
    <w:rsid w:val="00E160DE"/>
    <w:rsid w:val="00E22F9D"/>
    <w:rsid w:val="00E37786"/>
    <w:rsid w:val="00E44972"/>
    <w:rsid w:val="00E47F83"/>
    <w:rsid w:val="00E54B1A"/>
    <w:rsid w:val="00E64E00"/>
    <w:rsid w:val="00EA3D8F"/>
    <w:rsid w:val="00EA6F29"/>
    <w:rsid w:val="00EB11C1"/>
    <w:rsid w:val="00EB6499"/>
    <w:rsid w:val="00EC1FC4"/>
    <w:rsid w:val="00EC22EF"/>
    <w:rsid w:val="00EC6474"/>
    <w:rsid w:val="00EE5534"/>
    <w:rsid w:val="00EF6641"/>
    <w:rsid w:val="00F008DB"/>
    <w:rsid w:val="00F00CE6"/>
    <w:rsid w:val="00F1224B"/>
    <w:rsid w:val="00F1349B"/>
    <w:rsid w:val="00F26BDE"/>
    <w:rsid w:val="00F35AE6"/>
    <w:rsid w:val="00F53426"/>
    <w:rsid w:val="00F549B6"/>
    <w:rsid w:val="00F64DE9"/>
    <w:rsid w:val="00F65D9E"/>
    <w:rsid w:val="00F677C8"/>
    <w:rsid w:val="00F722BA"/>
    <w:rsid w:val="00F90729"/>
    <w:rsid w:val="00FA0B54"/>
    <w:rsid w:val="00FA498D"/>
    <w:rsid w:val="00FB441B"/>
    <w:rsid w:val="00FB5DE1"/>
    <w:rsid w:val="00FC2C76"/>
    <w:rsid w:val="00FC4B4F"/>
    <w:rsid w:val="00FF0853"/>
    <w:rsid w:val="0288480F"/>
    <w:rsid w:val="0FA13B65"/>
    <w:rsid w:val="37137D44"/>
    <w:rsid w:val="371606A9"/>
    <w:rsid w:val="3BB655A9"/>
    <w:rsid w:val="44C440D8"/>
    <w:rsid w:val="48F70F32"/>
    <w:rsid w:val="567F17DA"/>
    <w:rsid w:val="7E78000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4">
    <w:name w:val="heading 2"/>
    <w:basedOn w:val="1"/>
    <w:next w:val="1"/>
    <w:link w:val="14"/>
    <w:qFormat/>
    <w:uiPriority w:val="99"/>
    <w:pPr>
      <w:keepNext/>
      <w:keepLines/>
      <w:spacing w:before="260" w:after="260" w:line="413" w:lineRule="auto"/>
      <w:outlineLvl w:val="1"/>
    </w:pPr>
    <w:rPr>
      <w:rFonts w:ascii="Arial" w:hAnsi="Arial" w:eastAsia="黑体" w:cs="Arial"/>
      <w:b/>
      <w:bCs/>
      <w:sz w:val="32"/>
      <w:szCs w:val="32"/>
    </w:rPr>
  </w:style>
  <w:style w:type="paragraph" w:styleId="5">
    <w:name w:val="heading 3"/>
    <w:basedOn w:val="1"/>
    <w:next w:val="1"/>
    <w:link w:val="15"/>
    <w:qFormat/>
    <w:uiPriority w:val="99"/>
    <w:pPr>
      <w:keepNext/>
      <w:keepLines/>
      <w:spacing w:before="260" w:after="260" w:line="413" w:lineRule="auto"/>
      <w:outlineLvl w:val="2"/>
    </w:pPr>
    <w:rPr>
      <w:b/>
      <w:bCs/>
      <w:sz w:val="32"/>
      <w:szCs w:val="32"/>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style>
  <w:style w:type="paragraph" w:styleId="3">
    <w:name w:val="Body Text"/>
    <w:basedOn w:val="1"/>
    <w:qFormat/>
    <w:uiPriority w:val="0"/>
    <w:pPr>
      <w:spacing w:after="120"/>
    </w:pPr>
    <w:rPr>
      <w:kern w:val="0"/>
    </w:rPr>
  </w:style>
  <w:style w:type="paragraph" w:styleId="6">
    <w:name w:val="Date"/>
    <w:basedOn w:val="1"/>
    <w:next w:val="1"/>
    <w:link w:val="19"/>
    <w:qFormat/>
    <w:uiPriority w:val="99"/>
    <w:pPr>
      <w:ind w:left="100" w:leftChars="2500"/>
    </w:pPr>
  </w:style>
  <w:style w:type="paragraph" w:styleId="7">
    <w:name w:val="Balloon Text"/>
    <w:basedOn w:val="1"/>
    <w:link w:val="18"/>
    <w:semiHidden/>
    <w:qFormat/>
    <w:uiPriority w:val="99"/>
    <w:rPr>
      <w:sz w:val="18"/>
      <w:szCs w:val="18"/>
    </w:rPr>
  </w:style>
  <w:style w:type="paragraph" w:styleId="8">
    <w:name w:val="footer"/>
    <w:basedOn w:val="1"/>
    <w:link w:val="16"/>
    <w:qFormat/>
    <w:uiPriority w:val="99"/>
    <w:pPr>
      <w:tabs>
        <w:tab w:val="center" w:pos="4153"/>
        <w:tab w:val="right" w:pos="8306"/>
      </w:tabs>
      <w:snapToGrid w:val="0"/>
      <w:jc w:val="left"/>
    </w:pPr>
    <w:rPr>
      <w:sz w:val="18"/>
      <w:szCs w:val="18"/>
    </w:rPr>
  </w:style>
  <w:style w:type="paragraph" w:styleId="9">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99"/>
    <w:rPr>
      <w:rFonts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page number"/>
    <w:basedOn w:val="12"/>
    <w:qFormat/>
    <w:uiPriority w:val="99"/>
  </w:style>
  <w:style w:type="character" w:customStyle="1" w:styleId="14">
    <w:name w:val="标题 2 字符"/>
    <w:basedOn w:val="12"/>
    <w:link w:val="4"/>
    <w:qFormat/>
    <w:locked/>
    <w:uiPriority w:val="99"/>
    <w:rPr>
      <w:rFonts w:ascii="Arial" w:hAnsi="Arial" w:eastAsia="黑体" w:cs="Arial"/>
      <w:b/>
      <w:bCs/>
      <w:sz w:val="32"/>
      <w:szCs w:val="32"/>
    </w:rPr>
  </w:style>
  <w:style w:type="character" w:customStyle="1" w:styleId="15">
    <w:name w:val="标题 3 字符"/>
    <w:basedOn w:val="12"/>
    <w:link w:val="5"/>
    <w:qFormat/>
    <w:locked/>
    <w:uiPriority w:val="99"/>
    <w:rPr>
      <w:rFonts w:ascii="Times New Roman" w:hAnsi="Times New Roman" w:eastAsia="宋体" w:cs="Times New Roman"/>
      <w:b/>
      <w:bCs/>
      <w:sz w:val="32"/>
      <w:szCs w:val="32"/>
    </w:rPr>
  </w:style>
  <w:style w:type="character" w:customStyle="1" w:styleId="16">
    <w:name w:val="页脚 字符"/>
    <w:basedOn w:val="12"/>
    <w:link w:val="8"/>
    <w:qFormat/>
    <w:locked/>
    <w:uiPriority w:val="99"/>
    <w:rPr>
      <w:rFonts w:ascii="Times New Roman" w:hAnsi="Times New Roman" w:cs="Times New Roman"/>
      <w:sz w:val="18"/>
      <w:szCs w:val="18"/>
    </w:rPr>
  </w:style>
  <w:style w:type="character" w:customStyle="1" w:styleId="17">
    <w:name w:val="页眉 字符"/>
    <w:basedOn w:val="12"/>
    <w:link w:val="9"/>
    <w:semiHidden/>
    <w:qFormat/>
    <w:locked/>
    <w:uiPriority w:val="99"/>
    <w:rPr>
      <w:rFonts w:ascii="Times New Roman" w:hAnsi="Times New Roman" w:cs="Times New Roman"/>
      <w:sz w:val="18"/>
      <w:szCs w:val="18"/>
    </w:rPr>
  </w:style>
  <w:style w:type="character" w:customStyle="1" w:styleId="18">
    <w:name w:val="批注框文本 字符"/>
    <w:basedOn w:val="12"/>
    <w:link w:val="7"/>
    <w:semiHidden/>
    <w:qFormat/>
    <w:locked/>
    <w:uiPriority w:val="99"/>
    <w:rPr>
      <w:rFonts w:ascii="Times New Roman" w:hAnsi="Times New Roman" w:cs="Times New Roman"/>
      <w:sz w:val="2"/>
      <w:szCs w:val="2"/>
    </w:rPr>
  </w:style>
  <w:style w:type="character" w:customStyle="1" w:styleId="19">
    <w:name w:val="日期 字符"/>
    <w:basedOn w:val="12"/>
    <w:link w:val="6"/>
    <w:semiHidden/>
    <w:qFormat/>
    <w:locked/>
    <w:uiPriority w:val="99"/>
    <w:rPr>
      <w:rFonts w:ascii="Times New Roman" w:hAnsi="Times New Roman" w:cs="Times New Roman"/>
      <w:sz w:val="24"/>
      <w:szCs w:val="24"/>
    </w:rPr>
  </w:style>
  <w:style w:type="paragraph" w:styleId="20">
    <w:name w:val="List Paragraph"/>
    <w:basedOn w:val="1"/>
    <w:qFormat/>
    <w:uiPriority w:val="34"/>
    <w:pPr>
      <w:ind w:firstLine="420" w:firstLineChars="200"/>
    </w:pPr>
    <w:rPr>
      <w:rFonts w:ascii="Calibri" w:hAnsi="Calibr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4</Pages>
  <Words>306</Words>
  <Characters>1749</Characters>
  <Lines>14</Lines>
  <Paragraphs>4</Paragraphs>
  <TotalTime>25</TotalTime>
  <ScaleCrop>false</ScaleCrop>
  <LinksUpToDate>false</LinksUpToDate>
  <CharactersWithSpaces>2051</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2021-11-22T00:59:00Z</dcterms:created>
  <dc:creator>admin</dc:creator>
  <cp:lastModifiedBy>edu</cp:lastModifiedBy>
  <cp:lastPrinted>2021-11-22T00:37:00Z</cp:lastPrinted>
  <dcterms:modified xsi:type="dcterms:W3CDTF">2021-11-22T07:13:06Z</dcterms:modified>
  <dc:title>厦 门 市 第 二 医 院</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4FD927DBA696414DADAF9E5689C36A22</vt:lpwstr>
  </property>
</Properties>
</file>