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0" w:leftChars="0" w:firstLine="420" w:firstLineChars="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sz w:val="30"/>
          <w:szCs w:val="30"/>
          <w:lang w:eastAsia="zh-CN"/>
        </w:rPr>
        <w:t>厦门市海沧医</w:t>
      </w:r>
      <w:bookmarkStart w:id="0" w:name="_GoBack"/>
      <w:bookmarkEnd w:id="0"/>
      <w:r>
        <w:rPr>
          <w:rFonts w:hint="eastAsia" w:eastAsiaTheme="minorEastAsia"/>
          <w:b/>
          <w:bCs/>
          <w:sz w:val="30"/>
          <w:szCs w:val="30"/>
          <w:lang w:eastAsia="zh-CN"/>
        </w:rPr>
        <w:t>院</w:t>
      </w:r>
      <w:r>
        <w:rPr>
          <w:rFonts w:hint="eastAsia"/>
          <w:b/>
          <w:bCs/>
          <w:sz w:val="30"/>
          <w:szCs w:val="30"/>
          <w:lang w:eastAsia="zh-CN"/>
        </w:rPr>
        <w:t>西侧</w:t>
      </w:r>
      <w:r>
        <w:rPr>
          <w:rFonts w:hint="eastAsia" w:eastAsiaTheme="minorEastAsia"/>
          <w:b/>
          <w:bCs/>
          <w:sz w:val="30"/>
          <w:szCs w:val="30"/>
          <w:lang w:eastAsia="zh-CN"/>
        </w:rPr>
        <w:t>停车场</w:t>
      </w:r>
      <w:r>
        <w:rPr>
          <w:rFonts w:hint="eastAsia"/>
          <w:b/>
          <w:bCs/>
          <w:sz w:val="30"/>
          <w:szCs w:val="30"/>
          <w:lang w:eastAsia="zh-CN"/>
        </w:rPr>
        <w:t>两层集装箱的紧急</w:t>
      </w:r>
      <w:r>
        <w:rPr>
          <w:rFonts w:hint="eastAsia" w:eastAsiaTheme="minorEastAsia"/>
          <w:b/>
          <w:bCs/>
          <w:sz w:val="30"/>
          <w:szCs w:val="30"/>
          <w:lang w:eastAsia="zh-CN"/>
        </w:rPr>
        <w:t>网络布线</w:t>
      </w:r>
      <w:r>
        <w:rPr>
          <w:rFonts w:hint="eastAsia"/>
          <w:b/>
          <w:bCs/>
          <w:sz w:val="30"/>
          <w:szCs w:val="30"/>
          <w:lang w:eastAsia="zh-CN"/>
        </w:rPr>
        <w:t>需求</w:t>
      </w:r>
    </w:p>
    <w:p>
      <w:pPr>
        <w:ind w:left="2100" w:leftChars="0" w:firstLine="420" w:firstLineChars="0"/>
        <w:rPr>
          <w:rFonts w:hint="eastAsia"/>
          <w:b/>
          <w:bCs/>
          <w:sz w:val="30"/>
          <w:szCs w:val="30"/>
          <w:lang w:eastAsia="zh-CN"/>
        </w:rPr>
      </w:pP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为适应上级对新盖发热门诊的要求，此次本院加盖的西侧停车场两层集装箱需做紧急网络布线：</w:t>
      </w:r>
      <w:r>
        <w:rPr>
          <w:rFonts w:hint="eastAsia" w:eastAsiaTheme="minorEastAsia"/>
          <w:lang w:eastAsia="zh-CN"/>
        </w:rPr>
        <w:t>共涉及网络信息点内网2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eastAsia="zh-CN"/>
        </w:rPr>
        <w:t>个，外网2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eastAsia="zh-CN"/>
        </w:rPr>
        <w:t>个，电话点位2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eastAsia="zh-CN"/>
        </w:rPr>
        <w:t>个</w:t>
      </w:r>
      <w:r>
        <w:rPr>
          <w:rFonts w:hint="eastAsia"/>
          <w:lang w:eastAsia="zh-CN"/>
        </w:rPr>
        <w:t>，</w:t>
      </w:r>
      <w:r>
        <w:rPr>
          <w:rFonts w:hint="eastAsia" w:eastAsiaTheme="minorEastAsia"/>
          <w:lang w:eastAsia="zh-CN"/>
        </w:rPr>
        <w:t>监控点位</w:t>
      </w:r>
      <w:r>
        <w:rPr>
          <w:rFonts w:hint="eastAsia"/>
          <w:lang w:val="en-US" w:eastAsia="zh-CN"/>
        </w:rPr>
        <w:t>8</w:t>
      </w:r>
      <w:r>
        <w:rPr>
          <w:rFonts w:hint="eastAsia" w:eastAsiaTheme="minorEastAsia"/>
          <w:lang w:eastAsia="zh-CN"/>
        </w:rPr>
        <w:t>个。需要含管、线、交换机、22U机柜（含相关机柜内部辅件）、监控摄像头、多模光纤、单模光纤和布</w:t>
      </w:r>
      <w:r>
        <w:rPr>
          <w:rFonts w:hint="eastAsia"/>
          <w:lang w:eastAsia="zh-CN"/>
        </w:rPr>
        <w:t>明</w:t>
      </w:r>
      <w:r>
        <w:rPr>
          <w:rFonts w:hint="eastAsia" w:eastAsiaTheme="minorEastAsia"/>
          <w:lang w:eastAsia="zh-CN"/>
        </w:rPr>
        <w:t>线。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具体要求</w:t>
      </w:r>
      <w:r>
        <w:rPr>
          <w:rFonts w:hint="eastAsia" w:eastAsiaTheme="minorEastAsia"/>
          <w:lang w:eastAsia="zh-CN"/>
        </w:rPr>
        <w:t>如下：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网络</w:t>
      </w:r>
      <w:r>
        <w:rPr>
          <w:rFonts w:hint="eastAsia"/>
          <w:lang w:eastAsia="zh-CN"/>
        </w:rPr>
        <w:t>点位：</w:t>
      </w:r>
      <w:r>
        <w:rPr>
          <w:rFonts w:hint="eastAsia" w:eastAsiaTheme="minorEastAsia"/>
          <w:lang w:eastAsia="zh-CN"/>
        </w:rPr>
        <w:t>内外网点位各配置1台千兆交换机（内网：24电口+4光口*1台，外网：24电口+4光口*1台，同时配套光纤模块）</w:t>
      </w:r>
      <w:r>
        <w:rPr>
          <w:rFonts w:hint="eastAsia"/>
          <w:lang w:eastAsia="zh-CN"/>
        </w:rPr>
        <w:t>，上行通过多模光纤连接到高压氧仓的</w:t>
      </w:r>
      <w:r>
        <w:rPr>
          <w:rFonts w:hint="eastAsia"/>
          <w:lang w:val="en-US" w:eastAsia="zh-CN"/>
        </w:rPr>
        <w:t>2楼走廊机柜。</w:t>
      </w:r>
      <w:r>
        <w:rPr>
          <w:rFonts w:hint="eastAsia" w:eastAsiaTheme="minorEastAsia"/>
          <w:lang w:eastAsia="zh-CN"/>
        </w:rPr>
        <w:t>网络交换机配置业务实现与原内外网络系统架构无缝对接；综合布线千兆链路均采用六类非屏蔽布线系统，采用结构化、模块化的RJ45插座可实现内、外网络互跳，标识清晰信息点测试合格通过率100%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监控点位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配置1台POE交换机，</w:t>
      </w:r>
      <w:r>
        <w:rPr>
          <w:rFonts w:hint="eastAsia"/>
          <w:lang w:eastAsia="zh-CN"/>
        </w:rPr>
        <w:t>上行通过单模光纤光口连接到</w:t>
      </w:r>
      <w:r>
        <w:rPr>
          <w:rFonts w:hint="eastAsia" w:eastAsiaTheme="minorEastAsia"/>
          <w:lang w:eastAsia="zh-CN"/>
        </w:rPr>
        <w:t>2号楼2楼弱电机房</w:t>
      </w:r>
      <w:r>
        <w:rPr>
          <w:rFonts w:hint="eastAsia"/>
          <w:lang w:eastAsia="zh-CN"/>
        </w:rPr>
        <w:t>，其下需连接</w:t>
      </w:r>
      <w:r>
        <w:rPr>
          <w:rFonts w:hint="eastAsia"/>
          <w:lang w:val="en-US" w:eastAsia="zh-CN"/>
        </w:rPr>
        <w:t>8</w:t>
      </w:r>
      <w:r>
        <w:rPr>
          <w:rFonts w:hint="eastAsia" w:eastAsiaTheme="minorEastAsia"/>
          <w:lang w:eastAsia="zh-CN"/>
        </w:rPr>
        <w:t>个枪型摄像头。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电话点位</w:t>
      </w:r>
      <w:r>
        <w:rPr>
          <w:rFonts w:hint="eastAsia"/>
          <w:lang w:eastAsia="zh-CN"/>
        </w:rPr>
        <w:t>：</w:t>
      </w:r>
      <w:r>
        <w:rPr>
          <w:rFonts w:hint="eastAsia" w:eastAsiaTheme="minorEastAsia"/>
          <w:lang w:eastAsia="zh-CN"/>
        </w:rPr>
        <w:t>布线直通</w:t>
      </w:r>
      <w:r>
        <w:rPr>
          <w:rFonts w:hint="eastAsia"/>
          <w:lang w:val="en-US" w:eastAsia="zh-CN"/>
        </w:rPr>
        <w:t>2号楼2楼弱电机房电信接入设备（ONU）端汇聚接入或者</w:t>
      </w:r>
      <w:r>
        <w:rPr>
          <w:rFonts w:hint="eastAsia" w:eastAsiaTheme="minorEastAsia"/>
          <w:lang w:eastAsia="zh-CN"/>
        </w:rPr>
        <w:t>食堂电信接入设备（ONU）端汇聚接入。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需现场地勘明确详细需求</w:t>
      </w:r>
      <w:r>
        <w:rPr>
          <w:rFonts w:hint="eastAsia" w:eastAsiaTheme="minorEastAsia"/>
          <w:lang w:eastAsia="zh-CN"/>
        </w:rPr>
        <w:t>，提供图纸和清单报价，其中含安装调试、配件及税费等有关费用，提供</w:t>
      </w:r>
      <w:r>
        <w:rPr>
          <w:rFonts w:hint="eastAsia"/>
          <w:lang w:eastAsia="zh-CN"/>
        </w:rPr>
        <w:t>三</w:t>
      </w:r>
      <w:r>
        <w:rPr>
          <w:rFonts w:hint="eastAsia" w:eastAsiaTheme="minorEastAsia"/>
          <w:lang w:eastAsia="zh-CN"/>
        </w:rPr>
        <w:t>年的工程质保服务，工程保修要求</w:t>
      </w:r>
      <w:r>
        <w:rPr>
          <w:rFonts w:hint="eastAsia"/>
          <w:lang w:val="en-US" w:eastAsia="zh-CN"/>
        </w:rPr>
        <w:t>1</w:t>
      </w:r>
      <w:r>
        <w:rPr>
          <w:rFonts w:hint="eastAsia" w:eastAsiaTheme="minorEastAsia"/>
          <w:lang w:eastAsia="zh-CN"/>
        </w:rPr>
        <w:t>小时内电话报修响应，</w:t>
      </w:r>
      <w:r>
        <w:rPr>
          <w:rFonts w:hint="eastAsia"/>
          <w:lang w:val="en-US" w:eastAsia="zh-CN"/>
        </w:rPr>
        <w:t>3</w:t>
      </w:r>
      <w:r>
        <w:rPr>
          <w:rFonts w:hint="eastAsia" w:eastAsiaTheme="minorEastAsia"/>
          <w:lang w:eastAsia="zh-CN"/>
        </w:rPr>
        <w:t>小时内现场响应。</w:t>
      </w:r>
      <w:r>
        <w:rPr>
          <w:rFonts w:hint="eastAsia"/>
          <w:lang w:eastAsia="zh-CN"/>
        </w:rPr>
        <w:t>曾被我院列入黑名单的</w:t>
      </w:r>
      <w:r>
        <w:rPr>
          <w:rFonts w:hint="eastAsia" w:eastAsiaTheme="minorEastAsia"/>
          <w:lang w:eastAsia="zh-CN"/>
        </w:rPr>
        <w:t>施工承包单位</w:t>
      </w:r>
      <w:r>
        <w:rPr>
          <w:rFonts w:hint="eastAsia"/>
          <w:lang w:eastAsia="zh-CN"/>
        </w:rPr>
        <w:t>本次投标无效。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本次紧急布线需在5个日历日左右完工。</w:t>
      </w:r>
    </w:p>
    <w:tbl>
      <w:tblPr>
        <w:tblStyle w:val="2"/>
        <w:tblpPr w:leftFromText="180" w:rightFromText="180" w:vertAnchor="text" w:horzAnchor="page" w:tblpX="2065" w:tblpY="916"/>
        <w:tblOverlap w:val="never"/>
        <w:tblW w:w="13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558"/>
        <w:gridCol w:w="2276"/>
        <w:gridCol w:w="8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2台华为S5720-28P-LI-AC               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1、交换容量≥336Gbps，包转发率≥50Mpps。24个千兆电口，4个千兆SFP。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2、支持MAC地址≥16K，支持ARP表项≥2K。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3、支持4K个VLAN，支持Voice VLAN，基于端口的VLAN，基于MAC的VLAN，基于协议的VLAN，支持VLAN内端口隔离，支持Smart link。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4、支持端口聚合，每个聚合组至少8个端口；支持跨设备链路聚合。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5、支持RIP、RIPng、OSPF；支持IPv4 FIB表项≥4K。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6、支持IGMP v1/v2/v3 Snooping，支持VLAN内组播转发和组播多VLAN复制，支持捆绑端口的组播负载分担，支持可控组播，基于端口的组播流量统计。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7、支持防止DOS、ARP攻击功能、ICMP防攻击，支持端口隔离、端口安全、Sticky MAC，支持IP/Port/MAC的绑定功能。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8、支持CPU防攻击；支持DHCP Snooping、源地址认证SAVI等安全特性。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9、支持智能堆叠，堆叠后逻辑上虚拟为一台设备，具有统一的表项和管理，堆叠系统通过多台成员设备之间冗余备份。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10、支持纵向虚拟化，作为纵向子节点零配置即插即用。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11、支持对端口接收报文速率和发送报文速率进行限制，支持SP、WRR、SP+WRR等队列调度算法。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12、支持SNMP v1/v2/v3、Telnet、RMON，支持通过命令行、Web、中文图形化配置软件等方式进行配置和管理。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光模块</w:t>
            </w:r>
          </w:p>
        </w:tc>
        <w:tc>
          <w:tcPr>
            <w:tcW w:w="2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4个eSFP-GE-SX-MM850</w:t>
            </w:r>
          </w:p>
        </w:tc>
        <w:tc>
          <w:tcPr>
            <w:tcW w:w="8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千兆多模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1个22U</w:t>
            </w:r>
          </w:p>
        </w:tc>
        <w:tc>
          <w:tcPr>
            <w:tcW w:w="8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600*600*1200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六类非屏蔽网络线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约2400米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标准：符合TIA/EIA 568B国际标准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网络模块 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六类非屏蔽网络模块，拔插次数大于1000次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双口网络面板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24口配线架（内外网）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24口六类模块化非屏蔽配线架 内含24个六类非屏蔽模块，拔插次数大于1000次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多模光纤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150米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12芯室内多模光纤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光纤配线架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6口光纤配线架(含所有配件）含熔接盘；含12个耦合器，灵活的连接器面板，可选SC，ST，FC或LC型耦合器，适用于单模和多模。（暂定采用LC型）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多模光纤跳线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10条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多模光纤尾纤连接器采用高密度陶瓷芯，采用高密度的连接方式，3m。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单模光缆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250米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4芯以上，国标与视频监控系统合用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光纤熔接盒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1套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国标，4口SC光纤熔接盒(含所有配套的配件、附件）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16口电话光纤收发器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电话线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4芯，600米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无氧铜线径0.5mm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电话模块 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语音电话模块，拔插次数大于1000次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电话面板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24个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理线架</w:t>
            </w:r>
          </w:p>
        </w:tc>
        <w:tc>
          <w:tcPr>
            <w:tcW w:w="2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4个</w:t>
            </w:r>
          </w:p>
        </w:tc>
        <w:tc>
          <w:tcPr>
            <w:tcW w:w="8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1U单面水平理线器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辅材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若干、国标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办公区内采用明敷线槽、86线盒等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室内网络摄像机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8个枪型摄像头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最大图像尺寸: 1920 × 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存储功能: NAS（NFS，SMB/CIFS均支持）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网络: 1个RJ45 10 M/100 M自适应以太网口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1台POE交换机</w:t>
            </w:r>
          </w:p>
        </w:tc>
        <w:tc>
          <w:tcPr>
            <w:tcW w:w="8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轻网管百兆交换机（其上行通过单模光纤光口连接到2号楼2楼弱电机房，其下需连接8个枪型摄像头）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其他</w:t>
            </w:r>
          </w:p>
        </w:tc>
        <w:tc>
          <w:tcPr>
            <w:tcW w:w="22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若干数量</w:t>
            </w:r>
          </w:p>
        </w:tc>
        <w:tc>
          <w:tcPr>
            <w:tcW w:w="8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其他施工中需补充的内容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88AA"/>
    <w:multiLevelType w:val="singleLevel"/>
    <w:tmpl w:val="8F2A88A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Nzc5MGE0ZTI2ZDFjMTQxZDZhMzNhNjA5OTEwZmEifQ=="/>
  </w:docVars>
  <w:rsids>
    <w:rsidRoot w:val="21BD2170"/>
    <w:rsid w:val="03D621DB"/>
    <w:rsid w:val="0E501D2F"/>
    <w:rsid w:val="21BD2170"/>
    <w:rsid w:val="4A173615"/>
    <w:rsid w:val="7B66324A"/>
    <w:rsid w:val="7B75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1835</Characters>
  <Lines>0</Lines>
  <Paragraphs>0</Paragraphs>
  <TotalTime>5</TotalTime>
  <ScaleCrop>false</ScaleCrop>
  <LinksUpToDate>false</LinksUpToDate>
  <CharactersWithSpaces>1872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2022-05-15T09:56:00Z</dcterms:created>
  <dc:creator>孔融让梨佬斯基</dc:creator>
  <cp:lastModifiedBy>邱蛋蛋蛋蛋</cp:lastModifiedBy>
  <dcterms:modified xsi:type="dcterms:W3CDTF">2022-05-16T05:05:18Z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C9D5A865FD2849FF8903ADB1300C690F</vt:lpwstr>
  </property>
</Properties>
</file>