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ilvl w:val="0"/>
          <w:numId w:val="0"/>
        </w:numPr>
        <w:spacing w:line="360" w:lineRule="auto"/>
        <w:ind w:leftChars="0" w:firstLine="480" w:firstLineChars="200"/>
        <w:rPr>
          <w:rFonts w:hint="eastAsia"/>
          <w:sz w:val="24"/>
          <w:lang w:val="en-US" w:eastAsia="zh-CN"/>
        </w:rPr>
      </w:pPr>
      <w:r>
        <w:rPr>
          <w:rFonts w:hint="eastAsia"/>
          <w:sz w:val="24"/>
          <w:lang w:val="en-US" w:eastAsia="zh-CN"/>
        </w:rPr>
        <w:t>附件-</w:t>
      </w:r>
    </w:p>
    <w:p>
      <w:pPr>
        <w:pStyle w:val="16"/>
        <w:numPr>
          <w:ilvl w:val="0"/>
          <w:numId w:val="0"/>
        </w:numPr>
        <w:spacing w:line="360" w:lineRule="auto"/>
        <w:ind w:leftChars="0" w:firstLine="720" w:firstLineChars="200"/>
        <w:rPr>
          <w:rFonts w:hint="eastAsia" w:eastAsiaTheme="minorEastAsia"/>
          <w:sz w:val="36"/>
          <w:szCs w:val="36"/>
          <w:lang w:val="en-US" w:eastAsia="zh-CN"/>
        </w:rPr>
      </w:pPr>
      <w:r>
        <w:rPr>
          <w:rFonts w:hint="eastAsia"/>
          <w:sz w:val="36"/>
          <w:szCs w:val="36"/>
          <w:lang w:val="en-US" w:eastAsia="zh-CN"/>
        </w:rPr>
        <w:t>厦门市海沧医院</w:t>
      </w:r>
      <w:r>
        <w:rPr>
          <w:rFonts w:hint="eastAsia" w:cs="华文中宋" w:asciiTheme="minorEastAsia" w:hAnsiTheme="minorEastAsia" w:eastAsiaTheme="minorEastAsia"/>
          <w:b w:val="0"/>
          <w:bCs/>
          <w:sz w:val="36"/>
          <w:szCs w:val="36"/>
          <w:lang w:eastAsia="zh-CN"/>
        </w:rPr>
        <w:t>安全运维服务</w:t>
      </w:r>
      <w:r>
        <w:rPr>
          <w:rFonts w:hint="eastAsia" w:cs="华文中宋" w:asciiTheme="minorEastAsia" w:hAnsiTheme="minorEastAsia" w:eastAsiaTheme="minorEastAsia"/>
          <w:b w:val="0"/>
          <w:bCs/>
          <w:sz w:val="36"/>
          <w:szCs w:val="36"/>
        </w:rPr>
        <w:t>项目拟招商</w:t>
      </w:r>
      <w:r>
        <w:rPr>
          <w:rFonts w:hint="eastAsia" w:cs="华文中宋" w:asciiTheme="minorEastAsia" w:hAnsiTheme="minorEastAsia" w:eastAsiaTheme="minorEastAsia"/>
          <w:b w:val="0"/>
          <w:bCs/>
          <w:sz w:val="36"/>
          <w:szCs w:val="36"/>
          <w:lang w:eastAsia="zh-CN"/>
        </w:rPr>
        <w:t>说明</w:t>
      </w:r>
    </w:p>
    <w:p>
      <w:pPr>
        <w:pStyle w:val="16"/>
        <w:numPr>
          <w:ilvl w:val="0"/>
          <w:numId w:val="0"/>
        </w:numPr>
        <w:spacing w:line="360" w:lineRule="auto"/>
        <w:ind w:leftChars="0" w:firstLine="480" w:firstLineChars="200"/>
        <w:rPr>
          <w:sz w:val="24"/>
        </w:rPr>
      </w:pPr>
      <w:r>
        <w:rPr>
          <w:rFonts w:hint="eastAsia"/>
          <w:sz w:val="24"/>
          <w:lang w:eastAsia="zh-CN"/>
        </w:rPr>
        <w:t>一、</w:t>
      </w:r>
      <w:r>
        <w:rPr>
          <w:rFonts w:hint="eastAsia"/>
          <w:sz w:val="24"/>
        </w:rPr>
        <w:t>供应商需提供团队人员建设承诺函，即团队服务成员需满足具有下列安全服务相关资质(可重复)</w:t>
      </w:r>
    </w:p>
    <w:p>
      <w:pPr>
        <w:pStyle w:val="16"/>
        <w:numPr>
          <w:ilvl w:val="0"/>
          <w:numId w:val="1"/>
        </w:numPr>
        <w:spacing w:line="360" w:lineRule="auto"/>
        <w:ind w:firstLineChars="0"/>
        <w:rPr>
          <w:sz w:val="24"/>
        </w:rPr>
      </w:pPr>
      <w:r>
        <w:rPr>
          <w:rFonts w:hint="eastAsia"/>
          <w:sz w:val="24"/>
        </w:rPr>
        <w:t>具有至少1名工程师获得市级及以上网络与信息安全领导小组办公室颁发的安全技术专家证书，并参加过省级及以上网络安全攻防实战演练且获得优秀个人及以上成绩的证书。</w:t>
      </w:r>
    </w:p>
    <w:p>
      <w:pPr>
        <w:pStyle w:val="16"/>
        <w:numPr>
          <w:ilvl w:val="0"/>
          <w:numId w:val="1"/>
        </w:numPr>
        <w:spacing w:line="360" w:lineRule="auto"/>
        <w:ind w:firstLineChars="0"/>
        <w:rPr>
          <w:sz w:val="24"/>
        </w:rPr>
      </w:pPr>
      <w:r>
        <w:rPr>
          <w:rFonts w:hint="eastAsia"/>
          <w:sz w:val="24"/>
        </w:rPr>
        <w:t>具有至少2名工程师获得信息安全保障人员CISAW安全集成证书和应急服务证书、并具有网络工程师中级证书。</w:t>
      </w:r>
    </w:p>
    <w:p>
      <w:pPr>
        <w:pStyle w:val="16"/>
        <w:numPr>
          <w:ilvl w:val="0"/>
          <w:numId w:val="1"/>
        </w:numPr>
        <w:spacing w:line="360" w:lineRule="auto"/>
        <w:ind w:firstLineChars="0"/>
        <w:rPr>
          <w:sz w:val="24"/>
        </w:rPr>
      </w:pPr>
      <w:r>
        <w:rPr>
          <w:rFonts w:hint="eastAsia"/>
          <w:sz w:val="24"/>
        </w:rPr>
        <w:t>具有至少2名工程师同时具有信息安全等级保护安全建设专业技术证书（DJJS）和信息安全保障人员认证（CISAW</w:t>
      </w:r>
      <w:r>
        <w:rPr>
          <w:rFonts w:hint="eastAsia"/>
          <w:sz w:val="24"/>
          <w:lang w:eastAsia="zh-CN"/>
        </w:rPr>
        <w:t>）</w:t>
      </w:r>
      <w:bookmarkStart w:id="2" w:name="_GoBack"/>
      <w:bookmarkEnd w:id="2"/>
      <w:r>
        <w:rPr>
          <w:rFonts w:hint="eastAsia"/>
          <w:sz w:val="24"/>
        </w:rPr>
        <w:t>.</w:t>
      </w:r>
      <w:r>
        <w:rPr>
          <w:rFonts w:hint="eastAsia"/>
          <w:sz w:val="24"/>
          <w:lang w:eastAsia="zh-CN"/>
        </w:rPr>
        <w:t>。</w:t>
      </w:r>
    </w:p>
    <w:p>
      <w:pPr>
        <w:pStyle w:val="16"/>
        <w:numPr>
          <w:numId w:val="0"/>
        </w:numPr>
        <w:spacing w:line="360" w:lineRule="auto"/>
        <w:ind w:left="480" w:leftChars="0"/>
        <w:rPr>
          <w:rFonts w:hint="eastAsia" w:eastAsia="宋体"/>
          <w:sz w:val="24"/>
          <w:lang w:eastAsia="zh-CN"/>
        </w:rPr>
      </w:pPr>
      <w:r>
        <w:rPr>
          <w:rFonts w:hint="eastAsia"/>
          <w:sz w:val="24"/>
          <w:lang w:eastAsia="zh-CN"/>
        </w:rPr>
        <w:t>二、服务内容</w:t>
      </w:r>
    </w:p>
    <w:p>
      <w:pPr>
        <w:widowControl/>
        <w:jc w:val="center"/>
        <w:textAlignment w:val="center"/>
        <w:rPr>
          <w:rFonts w:ascii="宋体" w:hAnsi="宋体"/>
          <w:b/>
          <w:kern w:val="0"/>
          <w:lang w:bidi="ar"/>
        </w:rPr>
      </w:pPr>
    </w:p>
    <w:tbl>
      <w:tblPr>
        <w:tblStyle w:val="8"/>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855"/>
        <w:gridCol w:w="6"/>
        <w:gridCol w:w="1253"/>
        <w:gridCol w:w="2511"/>
        <w:gridCol w:w="409"/>
        <w:gridCol w:w="6"/>
        <w:gridCol w:w="47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538" w:type="pct"/>
            <w:shd w:val="clear" w:color="auto" w:fill="FFFFFF"/>
            <w:vAlign w:val="center"/>
          </w:tcPr>
          <w:p>
            <w:pPr>
              <w:pStyle w:val="2"/>
            </w:pPr>
          </w:p>
        </w:tc>
        <w:tc>
          <w:tcPr>
            <w:tcW w:w="538" w:type="pct"/>
            <w:shd w:val="clear" w:color="auto" w:fill="FFFFFF"/>
            <w:tcMar>
              <w:top w:w="10" w:type="dxa"/>
              <w:left w:w="10" w:type="dxa"/>
              <w:right w:w="10" w:type="dxa"/>
            </w:tcMar>
            <w:vAlign w:val="center"/>
          </w:tcPr>
          <w:p>
            <w:pPr>
              <w:widowControl/>
              <w:jc w:val="center"/>
              <w:textAlignment w:val="center"/>
              <w:rPr>
                <w:rFonts w:ascii="宋体" w:hAnsi="宋体"/>
                <w:b/>
              </w:rPr>
            </w:pPr>
            <w:r>
              <w:rPr>
                <w:rFonts w:hint="eastAsia" w:ascii="宋体" w:hAnsi="宋体"/>
                <w:b/>
                <w:kern w:val="0"/>
                <w:lang w:bidi="ar"/>
              </w:rPr>
              <w:t>服务项目</w:t>
            </w:r>
          </w:p>
        </w:tc>
        <w:tc>
          <w:tcPr>
            <w:tcW w:w="793" w:type="pct"/>
            <w:gridSpan w:val="2"/>
            <w:shd w:val="clear" w:color="auto" w:fill="FFFFFF"/>
            <w:tcMar>
              <w:top w:w="10" w:type="dxa"/>
              <w:left w:w="10" w:type="dxa"/>
              <w:right w:w="10" w:type="dxa"/>
            </w:tcMar>
            <w:vAlign w:val="center"/>
          </w:tcPr>
          <w:p>
            <w:pPr>
              <w:widowControl/>
              <w:jc w:val="center"/>
              <w:textAlignment w:val="center"/>
              <w:rPr>
                <w:rFonts w:ascii="宋体" w:hAnsi="宋体"/>
                <w:b/>
              </w:rPr>
            </w:pPr>
            <w:r>
              <w:rPr>
                <w:rFonts w:hint="eastAsia" w:ascii="宋体" w:hAnsi="宋体"/>
                <w:b/>
                <w:kern w:val="0"/>
                <w:lang w:bidi="ar"/>
              </w:rPr>
              <w:t>服务范围</w:t>
            </w:r>
          </w:p>
        </w:tc>
        <w:tc>
          <w:tcPr>
            <w:tcW w:w="1582" w:type="pct"/>
            <w:shd w:val="clear" w:color="auto" w:fill="FFFFFF"/>
            <w:tcMar>
              <w:top w:w="10" w:type="dxa"/>
              <w:left w:w="10" w:type="dxa"/>
              <w:right w:w="10" w:type="dxa"/>
            </w:tcMar>
            <w:vAlign w:val="center"/>
          </w:tcPr>
          <w:p>
            <w:pPr>
              <w:widowControl/>
              <w:jc w:val="center"/>
              <w:textAlignment w:val="center"/>
              <w:rPr>
                <w:rFonts w:ascii="宋体" w:hAnsi="宋体"/>
                <w:b/>
              </w:rPr>
            </w:pPr>
            <w:r>
              <w:rPr>
                <w:rFonts w:hint="eastAsia" w:ascii="宋体" w:hAnsi="宋体"/>
                <w:b/>
                <w:kern w:val="0"/>
                <w:lang w:bidi="ar"/>
              </w:rPr>
              <w:t>服务内容简述</w:t>
            </w:r>
          </w:p>
        </w:tc>
        <w:tc>
          <w:tcPr>
            <w:tcW w:w="261" w:type="pct"/>
            <w:gridSpan w:val="2"/>
            <w:shd w:val="clear" w:color="auto" w:fill="FFFFFF"/>
            <w:tcMar>
              <w:top w:w="10" w:type="dxa"/>
              <w:left w:w="10" w:type="dxa"/>
              <w:right w:w="10" w:type="dxa"/>
            </w:tcMar>
            <w:vAlign w:val="center"/>
          </w:tcPr>
          <w:p>
            <w:pPr>
              <w:widowControl/>
              <w:jc w:val="center"/>
              <w:textAlignment w:val="center"/>
              <w:rPr>
                <w:rFonts w:ascii="宋体" w:hAnsi="宋体"/>
                <w:b/>
              </w:rPr>
            </w:pPr>
            <w:r>
              <w:rPr>
                <w:rFonts w:hint="eastAsia" w:ascii="宋体" w:hAnsi="宋体"/>
                <w:b/>
                <w:kern w:val="0"/>
                <w:lang w:bidi="ar"/>
              </w:rPr>
              <w:t>服务频次</w:t>
            </w:r>
          </w:p>
        </w:tc>
        <w:tc>
          <w:tcPr>
            <w:tcW w:w="298" w:type="pct"/>
            <w:tcMar>
              <w:top w:w="10" w:type="dxa"/>
              <w:left w:w="10" w:type="dxa"/>
              <w:right w:w="10" w:type="dxa"/>
            </w:tcMar>
            <w:vAlign w:val="center"/>
          </w:tcPr>
          <w:p>
            <w:pPr>
              <w:widowControl/>
              <w:jc w:val="center"/>
              <w:textAlignment w:val="center"/>
              <w:rPr>
                <w:rFonts w:ascii="宋体" w:hAnsi="宋体"/>
                <w:b/>
              </w:rPr>
            </w:pPr>
            <w:r>
              <w:rPr>
                <w:rFonts w:hint="eastAsia" w:ascii="宋体" w:hAnsi="宋体"/>
                <w:b/>
                <w:kern w:val="0"/>
                <w:lang w:bidi="ar"/>
              </w:rPr>
              <w:t>单位</w:t>
            </w:r>
          </w:p>
        </w:tc>
        <w:tc>
          <w:tcPr>
            <w:tcW w:w="986" w:type="pct"/>
            <w:tcMar>
              <w:top w:w="10" w:type="dxa"/>
              <w:left w:w="10" w:type="dxa"/>
              <w:right w:w="10" w:type="dxa"/>
            </w:tcMar>
            <w:vAlign w:val="center"/>
          </w:tcPr>
          <w:p>
            <w:pPr>
              <w:widowControl/>
              <w:jc w:val="center"/>
              <w:textAlignment w:val="center"/>
              <w:rPr>
                <w:rFonts w:ascii="宋体" w:hAnsi="宋体"/>
                <w:b/>
              </w:rPr>
            </w:pPr>
            <w:r>
              <w:rPr>
                <w:rFonts w:hint="eastAsia" w:ascii="宋体" w:hAnsi="宋体"/>
                <w:b/>
                <w:kern w:val="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38"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等级保护咨询服务</w:t>
            </w:r>
          </w:p>
        </w:tc>
        <w:tc>
          <w:tcPr>
            <w:tcW w:w="793" w:type="pct"/>
            <w:gridSpan w:val="2"/>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需要过等保的信息系统，目前是HIS\LIS\EMR\PACS\HIP\门户网站\公共大屏播放系统\微信公众号\互联网医院里的应用功能系统以及二级系统</w:t>
            </w:r>
          </w:p>
        </w:tc>
        <w:tc>
          <w:tcPr>
            <w:tcW w:w="1582" w:type="pct"/>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 xml:space="preserve">采购人提供等保安全咨询规划、等保定级评审协助、等保备案协助、等保安全差距分析、等保安全整改协助、等保制度编制辅助、等保自评辅助、测评现场协助等服务。所使用的服务工具能够支持： </w:t>
            </w:r>
            <w:r>
              <w:rPr>
                <w:rFonts w:ascii="宋体" w:hAnsi="宋体"/>
                <w:kern w:val="0"/>
                <w:lang w:bidi="ar"/>
              </w:rPr>
              <w:t xml:space="preserve"> </w:t>
            </w:r>
            <w:r>
              <w:rPr>
                <w:rFonts w:hint="eastAsia" w:ascii="宋体" w:hAnsi="宋体"/>
                <w:kern w:val="0"/>
                <w:lang w:bidi="ar"/>
              </w:rPr>
              <w:t>1.支持同时对1000个以上IP进行归属地查询，支持批量对输入的信息按照标准化格式自动调整，提取需要的关键信息，删除冗余信息；</w:t>
            </w:r>
          </w:p>
          <w:p>
            <w:pPr>
              <w:pStyle w:val="16"/>
              <w:widowControl/>
              <w:numPr>
                <w:ilvl w:val="0"/>
                <w:numId w:val="2"/>
              </w:numPr>
              <w:ind w:firstLineChars="0"/>
              <w:jc w:val="left"/>
              <w:textAlignment w:val="center"/>
              <w:rPr>
                <w:rFonts w:ascii="宋体" w:hAnsi="宋体"/>
                <w:kern w:val="0"/>
                <w:lang w:bidi="ar"/>
              </w:rPr>
            </w:pPr>
            <w:r>
              <w:rPr>
                <w:rFonts w:hint="eastAsia" w:ascii="宋体" w:hAnsi="宋体"/>
                <w:kern w:val="0"/>
                <w:lang w:bidi="ar"/>
              </w:rPr>
              <w:t>支持与云端的威胁情报库进行联动，支持同时对1000个以上IP进行威胁情报信息查询，自动识别挖矿木马、勒索软件、傀儡机、Cobaltstrike等类型的威胁。</w:t>
            </w:r>
          </w:p>
          <w:p>
            <w:pPr>
              <w:pStyle w:val="2"/>
              <w:numPr>
                <w:ilvl w:val="0"/>
                <w:numId w:val="2"/>
              </w:numPr>
              <w:rPr>
                <w:lang w:bidi="ar"/>
              </w:rPr>
            </w:pPr>
            <w:r>
              <w:rPr>
                <w:rFonts w:hint="eastAsia"/>
                <w:lang w:bidi="ar"/>
              </w:rPr>
              <w:t>提供产品功能截图（加盖投标人公章），采购单位有权要求中标方在中标后3个工作日内到采购单位现场进行工具能力实操演示以验证是否为虚假应标。</w:t>
            </w:r>
          </w:p>
        </w:tc>
        <w:tc>
          <w:tcPr>
            <w:tcW w:w="261"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298"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次</w:t>
            </w:r>
          </w:p>
        </w:tc>
        <w:tc>
          <w:tcPr>
            <w:tcW w:w="986" w:type="pct"/>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"共9个三级系统和3个二级系统，出具启动会PPT</w:t>
            </w:r>
          </w:p>
          <w:p>
            <w:pPr>
              <w:widowControl/>
              <w:jc w:val="left"/>
              <w:textAlignment w:val="center"/>
              <w:rPr>
                <w:rFonts w:ascii="宋体" w:hAnsi="宋体"/>
              </w:rPr>
            </w:pPr>
            <w:r>
              <w:rPr>
                <w:rFonts w:hint="eastAsia" w:ascii="宋体" w:hAnsi="宋体"/>
                <w:kern w:val="0"/>
                <w:lang w:bidi="ar"/>
              </w:rPr>
              <w:t>《实施计划表》、《资产调研表》、《差距分析报告》等相关等保建设过程需要的材料内容"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38"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应急响应服务</w:t>
            </w:r>
          </w:p>
        </w:tc>
        <w:tc>
          <w:tcPr>
            <w:tcW w:w="793"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突发性安全事件：如数据大量被篡改、丢失，网络大面积终端，应用系统中毒等严重影响业务系统运行和医院办公的高危事件</w:t>
            </w:r>
          </w:p>
        </w:tc>
        <w:tc>
          <w:tcPr>
            <w:tcW w:w="1582" w:type="pct"/>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提供7*24小时对网络安全设备故障、病毒暴发、门户网站黑客入侵等紧急事件进行安全应急响应服务。</w:t>
            </w:r>
          </w:p>
          <w:p>
            <w:pPr>
              <w:widowControl/>
              <w:jc w:val="left"/>
              <w:textAlignment w:val="center"/>
              <w:rPr>
                <w:rFonts w:ascii="宋体" w:hAnsi="宋体"/>
                <w:kern w:val="0"/>
                <w:lang w:bidi="ar"/>
              </w:rPr>
            </w:pPr>
            <w:r>
              <w:rPr>
                <w:rFonts w:hint="eastAsia" w:ascii="宋体" w:hAnsi="宋体"/>
                <w:kern w:val="0"/>
                <w:lang w:bidi="ar"/>
              </w:rPr>
              <w:t>安全专家通过远程或现场方式及时响应与处理信息安全事件，协助客户降低影响，分析安全问题</w:t>
            </w:r>
          </w:p>
          <w:p>
            <w:pPr>
              <w:widowControl/>
              <w:jc w:val="left"/>
              <w:textAlignment w:val="center"/>
              <w:rPr>
                <w:rFonts w:ascii="宋体" w:hAnsi="宋体"/>
                <w:kern w:val="0"/>
                <w:lang w:bidi="ar"/>
              </w:rPr>
            </w:pPr>
            <w:r>
              <w:rPr>
                <w:rFonts w:hint="eastAsia" w:ascii="宋体" w:hAnsi="宋体"/>
                <w:kern w:val="0"/>
                <w:lang w:bidi="ar"/>
              </w:rPr>
              <w:t>产生的原因，提供应急响应报告和改进建议。</w:t>
            </w:r>
          </w:p>
          <w:p>
            <w:pPr>
              <w:widowControl/>
              <w:jc w:val="left"/>
              <w:textAlignment w:val="center"/>
              <w:rPr>
                <w:rFonts w:ascii="宋体" w:hAnsi="宋体"/>
              </w:rPr>
            </w:pPr>
            <w:r>
              <w:rPr>
                <w:rFonts w:hint="eastAsia" w:ascii="宋体" w:hAnsi="宋体"/>
                <w:kern w:val="0"/>
                <w:lang w:bidi="ar"/>
              </w:rPr>
              <w:t>安全问题发生后≤5分钟电话响应，≤30分钟远程支持响应，≤2小时现场支撑响应。</w:t>
            </w:r>
          </w:p>
        </w:tc>
        <w:tc>
          <w:tcPr>
            <w:tcW w:w="261"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298"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年</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《应急响应报告》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38" w:type="pct"/>
            <w:shd w:val="clear" w:color="auto" w:fill="auto"/>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安全演练服务</w:t>
            </w:r>
          </w:p>
        </w:tc>
        <w:tc>
          <w:tcPr>
            <w:tcW w:w="793" w:type="pct"/>
            <w:gridSpan w:val="2"/>
            <w:shd w:val="clear" w:color="auto" w:fill="auto"/>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高风险安全事件</w:t>
            </w:r>
          </w:p>
        </w:tc>
        <w:tc>
          <w:tcPr>
            <w:tcW w:w="1582" w:type="pct"/>
            <w:shd w:val="clear" w:color="auto" w:fill="auto"/>
            <w:tcMar>
              <w:top w:w="10" w:type="dxa"/>
              <w:left w:w="10" w:type="dxa"/>
              <w:right w:w="10" w:type="dxa"/>
            </w:tcMar>
            <w:vAlign w:val="center"/>
          </w:tcPr>
          <w:p>
            <w:pPr>
              <w:widowControl/>
              <w:jc w:val="left"/>
              <w:textAlignment w:val="center"/>
              <w:rPr>
                <w:rFonts w:ascii="宋体" w:hAnsi="宋体"/>
              </w:rPr>
            </w:pPr>
            <w:r>
              <w:rPr>
                <w:rFonts w:hint="eastAsia" w:ascii="宋体" w:hAnsi="宋体"/>
                <w:kern w:val="0"/>
                <w:lang w:bidi="ar"/>
              </w:rPr>
              <w:t>根据用户现场网络和业务的实际环境，协助编写专项网络安全演练预案，准备演练场景，演练的方式以桌演为主（其他方式由供应商和采购方协商而定），来检验应急预案和应急流程是否完善，发现用户的网络安全应对薄弱点，实现提高应急处理能力。</w:t>
            </w:r>
          </w:p>
        </w:tc>
        <w:tc>
          <w:tcPr>
            <w:tcW w:w="261" w:type="pct"/>
            <w:gridSpan w:val="2"/>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298"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次</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《安全演练方案》、《安全演练报告》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shd w:val="clear" w:color="auto" w:fill="FFFFFF"/>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基线检查服务</w:t>
            </w:r>
          </w:p>
        </w:tc>
        <w:tc>
          <w:tcPr>
            <w:tcW w:w="789" w:type="pct"/>
            <w:shd w:val="clear" w:color="auto" w:fill="auto"/>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需要过等保的信息系统，目前是HIS\LIS\EMR\PACS\HIP\门户网站\公共大屏播放系统、微信公众号里的应用功能系统</w:t>
            </w:r>
          </w:p>
        </w:tc>
        <w:tc>
          <w:tcPr>
            <w:tcW w:w="1582" w:type="pct"/>
            <w:shd w:val="clear" w:color="auto" w:fill="FFFFFF"/>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使用安全配置核查产品（工具或系统）或人工方式，对约定服务范围内系统中网络设备、主机操作系统、中间件系统、数据库系统和业务应用系统进行安全配置基线（依据《信息安全技术 网络安全等级保护基本要求》/或相关行业标准）检查。</w:t>
            </w:r>
          </w:p>
          <w:p>
            <w:pPr>
              <w:pStyle w:val="2"/>
              <w:rPr>
                <w:lang w:bidi="ar"/>
              </w:rPr>
            </w:pPr>
            <w:r>
              <w:rPr>
                <w:rFonts w:hint="eastAsia"/>
                <w:lang w:bidi="ar"/>
              </w:rPr>
              <w:t>所使用的服务工具能够支持：</w:t>
            </w:r>
          </w:p>
          <w:p>
            <w:pPr>
              <w:pStyle w:val="2"/>
              <w:rPr>
                <w:lang w:bidi="ar"/>
              </w:rPr>
            </w:pPr>
            <w:r>
              <w:rPr>
                <w:rFonts w:hint="eastAsia"/>
                <w:lang w:bidi="ar"/>
              </w:rPr>
              <w:t>1.支持按照基线模板对主机安全配置进行基线检查;</w:t>
            </w:r>
          </w:p>
          <w:p>
            <w:pPr>
              <w:pStyle w:val="2"/>
              <w:rPr>
                <w:lang w:bidi="ar"/>
              </w:rPr>
            </w:pPr>
            <w:r>
              <w:rPr>
                <w:rFonts w:hint="eastAsia"/>
                <w:lang w:bidi="ar"/>
              </w:rPr>
              <w:t>2.基于基线模板配置加固策略，自动完成对不符合项的加固工作；</w:t>
            </w:r>
          </w:p>
          <w:p>
            <w:pPr>
              <w:pStyle w:val="2"/>
              <w:rPr>
                <w:lang w:bidi="ar"/>
              </w:rPr>
            </w:pPr>
            <w:r>
              <w:rPr>
                <w:rFonts w:hint="eastAsia"/>
                <w:lang w:bidi="ar"/>
              </w:rPr>
              <w:t>3.加固策略包括身份标识与鉴别、访问控制、安全审计、剩余信息保护、入侵防范、恶意代码防范、安全实践经验（如禁止IPC空连接、关闭自动播放等）等；</w:t>
            </w:r>
          </w:p>
          <w:p>
            <w:pPr>
              <w:pStyle w:val="2"/>
              <w:rPr>
                <w:lang w:bidi="ar"/>
              </w:rPr>
            </w:pPr>
            <w:r>
              <w:rPr>
                <w:rFonts w:hint="eastAsia"/>
                <w:lang w:bidi="ar"/>
              </w:rPr>
              <w:t>4.基线模板及模板中的各策略项参数值均支持自定义。</w:t>
            </w:r>
          </w:p>
          <w:p>
            <w:pPr>
              <w:pStyle w:val="2"/>
              <w:rPr>
                <w:lang w:bidi="ar"/>
              </w:rPr>
            </w:pPr>
            <w:r>
              <w:rPr>
                <w:rFonts w:hint="eastAsia"/>
                <w:lang w:bidi="ar"/>
              </w:rPr>
              <w:t>提供产品功能截图（加盖投标人公章），采购单位有权要求中标方在中标后3个工作日内到采购单位现场进行工具能力实操演示以验证是否为虚假应标。</w:t>
            </w:r>
          </w:p>
        </w:tc>
        <w:tc>
          <w:tcPr>
            <w:tcW w:w="257"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次</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《基线检查报告》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auto"/>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漏洞安全预警通告服务</w:t>
            </w:r>
          </w:p>
        </w:tc>
        <w:tc>
          <w:tcPr>
            <w:tcW w:w="789" w:type="pct"/>
            <w:vMerge w:val="restart"/>
            <w:shd w:val="clear" w:color="auto" w:fill="FFFFFF"/>
            <w:tcMar>
              <w:top w:w="10" w:type="dxa"/>
              <w:left w:w="10" w:type="dxa"/>
              <w:right w:w="10" w:type="dxa"/>
            </w:tcMar>
            <w:vAlign w:val="center"/>
          </w:tcPr>
          <w:p>
            <w:pPr>
              <w:widowControl/>
              <w:jc w:val="left"/>
              <w:textAlignment w:val="center"/>
              <w:rPr>
                <w:rFonts w:ascii="宋体" w:hAnsi="宋体"/>
              </w:rPr>
            </w:pPr>
            <w:r>
              <w:rPr>
                <w:rFonts w:hint="eastAsia" w:ascii="宋体" w:hAnsi="宋体"/>
                <w:kern w:val="0"/>
                <w:lang w:bidi="ar"/>
              </w:rPr>
              <w:t>已知安全事件、高危漏洞</w:t>
            </w:r>
          </w:p>
          <w:p>
            <w:pPr>
              <w:widowControl/>
              <w:jc w:val="center"/>
              <w:textAlignment w:val="center"/>
              <w:rPr>
                <w:rFonts w:ascii="宋体" w:hAnsi="宋体"/>
              </w:rPr>
            </w:pPr>
          </w:p>
        </w:tc>
        <w:tc>
          <w:tcPr>
            <w:tcW w:w="1582" w:type="pct"/>
            <w:shd w:val="clear" w:color="auto" w:fill="auto"/>
            <w:tcMar>
              <w:top w:w="10" w:type="dxa"/>
              <w:left w:w="10" w:type="dxa"/>
              <w:right w:w="10" w:type="dxa"/>
            </w:tcMar>
            <w:vAlign w:val="center"/>
          </w:tcPr>
          <w:p>
            <w:pPr>
              <w:widowControl/>
              <w:jc w:val="left"/>
              <w:textAlignment w:val="center"/>
              <w:rPr>
                <w:rFonts w:ascii="宋体" w:hAnsi="宋体"/>
              </w:rPr>
            </w:pPr>
            <w:r>
              <w:rPr>
                <w:rFonts w:hint="eastAsia" w:ascii="宋体" w:hAnsi="宋体"/>
                <w:kern w:val="0"/>
                <w:lang w:bidi="ar"/>
              </w:rPr>
              <w:t>高危漏洞预警属于实时预警通告服务，依据全面的攻防能力和强大的漏洞验证能力，在第一时间向用户发布高危漏洞预警，向用户通告漏洞的破坏程度，风险等级，影响范围、处置建议等信息。并</w:t>
            </w:r>
            <w:r>
              <w:rPr>
                <w:rFonts w:ascii="宋体" w:hAnsi="宋体"/>
                <w:kern w:val="0"/>
                <w:lang w:bidi="ar"/>
              </w:rPr>
              <w:t>配合</w:t>
            </w:r>
            <w:r>
              <w:rPr>
                <w:rFonts w:hint="eastAsia" w:ascii="宋体" w:hAnsi="宋体"/>
                <w:kern w:val="0"/>
                <w:lang w:bidi="ar"/>
              </w:rPr>
              <w:t>客户完成</w:t>
            </w:r>
            <w:r>
              <w:rPr>
                <w:rFonts w:ascii="宋体" w:hAnsi="宋体"/>
                <w:kern w:val="0"/>
                <w:lang w:bidi="ar"/>
              </w:rPr>
              <w:t>安全漏洞修补</w:t>
            </w:r>
          </w:p>
        </w:tc>
        <w:tc>
          <w:tcPr>
            <w:tcW w:w="257"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年</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《漏洞安全预警通告》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auto"/>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安全热点报告服务</w:t>
            </w:r>
          </w:p>
        </w:tc>
        <w:tc>
          <w:tcPr>
            <w:tcW w:w="789" w:type="pct"/>
            <w:vMerge w:val="continue"/>
            <w:shd w:val="clear" w:color="auto" w:fill="FFFFFF"/>
            <w:tcMar>
              <w:top w:w="10" w:type="dxa"/>
              <w:left w:w="10" w:type="dxa"/>
              <w:right w:w="10" w:type="dxa"/>
            </w:tcMar>
            <w:vAlign w:val="center"/>
          </w:tcPr>
          <w:p>
            <w:pPr>
              <w:jc w:val="center"/>
              <w:rPr>
                <w:rFonts w:ascii="宋体" w:hAnsi="宋体"/>
              </w:rPr>
            </w:pPr>
          </w:p>
        </w:tc>
        <w:tc>
          <w:tcPr>
            <w:tcW w:w="1582" w:type="pct"/>
            <w:shd w:val="clear" w:color="auto" w:fill="auto"/>
            <w:tcMar>
              <w:top w:w="10" w:type="dxa"/>
              <w:left w:w="10" w:type="dxa"/>
              <w:right w:w="10" w:type="dxa"/>
            </w:tcMar>
            <w:vAlign w:val="center"/>
          </w:tcPr>
          <w:p>
            <w:pPr>
              <w:widowControl/>
              <w:jc w:val="left"/>
              <w:textAlignment w:val="center"/>
              <w:rPr>
                <w:rFonts w:ascii="宋体" w:hAnsi="宋体"/>
              </w:rPr>
            </w:pPr>
            <w:r>
              <w:rPr>
                <w:rFonts w:hint="eastAsia" w:ascii="宋体" w:hAnsi="宋体"/>
                <w:kern w:val="0"/>
                <w:lang w:bidi="ar"/>
              </w:rPr>
              <w:t>安全热点资讯属于每周推送分享服务，主要通过“安全事件”、“权威发布和安全趋势”和“安全快讯”多个专栏向用户分享网络攻击事件分析、境外黑客组织攻击行为分析、软硬件漏洞技术分析、病毒或恶意代码等有害程序事件和技术原理分析、安全技术研究报告，以及一些安全新闻或事件动态。</w:t>
            </w:r>
          </w:p>
        </w:tc>
        <w:tc>
          <w:tcPr>
            <w:tcW w:w="257"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年</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《安全热点周报》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shd w:val="clear" w:color="auto" w:fill="FFFFFF"/>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渗透测试服务</w:t>
            </w:r>
          </w:p>
        </w:tc>
        <w:tc>
          <w:tcPr>
            <w:tcW w:w="789" w:type="pct"/>
            <w:shd w:val="clear" w:color="auto" w:fill="auto"/>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医院互联网网站、应用系统</w:t>
            </w:r>
          </w:p>
        </w:tc>
        <w:tc>
          <w:tcPr>
            <w:tcW w:w="1582" w:type="pct"/>
            <w:shd w:val="clear" w:color="auto" w:fill="FFFFFF"/>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"1、专业信息安全服务工程师通过人工以非破坏性方式（通过远程或现场方式）对约定服务范围内指定的WEB应用系统进行WEB安全测试，测试内容至少包括OWASP TOP10和已知的大部分市面公布漏洞。以模拟黑客操作行为对用户的WEB应用系统进行模拟攻击或入侵，利用信息安全服务工程师的专业知识来识别用户信息系统的已知和未知漏洞。提供WEB安全测试报告和修复建议。</w:t>
            </w:r>
          </w:p>
          <w:p>
            <w:pPr>
              <w:widowControl/>
              <w:jc w:val="left"/>
              <w:textAlignment w:val="center"/>
              <w:rPr>
                <w:rFonts w:ascii="宋体" w:hAnsi="宋体"/>
              </w:rPr>
            </w:pPr>
            <w:r>
              <w:rPr>
                <w:rFonts w:hint="eastAsia" w:ascii="宋体" w:hAnsi="宋体"/>
                <w:kern w:val="0"/>
                <w:lang w:bidi="ar"/>
              </w:rPr>
              <w:t>2、跟进WEB安全测试结果，闭环协助处置发现的WEB安全问题。</w:t>
            </w:r>
          </w:p>
        </w:tc>
        <w:tc>
          <w:tcPr>
            <w:tcW w:w="257"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4</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次</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《渗透测试报告》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shd w:val="clear" w:color="auto" w:fill="FFFFFF"/>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安全加固协助服务</w:t>
            </w:r>
          </w:p>
        </w:tc>
        <w:tc>
          <w:tcPr>
            <w:tcW w:w="789"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医院内部信息系统网络安全事件</w:t>
            </w:r>
          </w:p>
        </w:tc>
        <w:tc>
          <w:tcPr>
            <w:tcW w:w="1582" w:type="pct"/>
            <w:shd w:val="clear" w:color="auto" w:fill="FFFFFF"/>
            <w:tcMar>
              <w:top w:w="10" w:type="dxa"/>
              <w:left w:w="10" w:type="dxa"/>
              <w:right w:w="10" w:type="dxa"/>
            </w:tcMar>
            <w:vAlign w:val="center"/>
          </w:tcPr>
          <w:p>
            <w:pPr>
              <w:widowControl/>
              <w:jc w:val="left"/>
              <w:textAlignment w:val="center"/>
              <w:rPr>
                <w:rFonts w:ascii="宋体" w:hAnsi="宋体"/>
              </w:rPr>
            </w:pPr>
            <w:r>
              <w:rPr>
                <w:rFonts w:hint="eastAsia" w:ascii="宋体" w:hAnsi="宋体"/>
                <w:kern w:val="0"/>
                <w:lang w:bidi="ar"/>
              </w:rPr>
              <w:t>针对安全扫描服务、基线检查服务或是客户单位提供的安全漏洞报告中发现的安全漏洞和配置缺陷，提供加固意见和实施报告，配合客户完成配置修复。</w:t>
            </w:r>
          </w:p>
        </w:tc>
        <w:tc>
          <w:tcPr>
            <w:tcW w:w="257"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4</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次</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《安全加固实施报告》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shd w:val="clear" w:color="auto" w:fill="FFFFFF"/>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安全检查支持</w:t>
            </w:r>
          </w:p>
        </w:tc>
        <w:tc>
          <w:tcPr>
            <w:tcW w:w="789"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上级部门网络安全检查事件</w:t>
            </w:r>
          </w:p>
        </w:tc>
        <w:tc>
          <w:tcPr>
            <w:tcW w:w="1582" w:type="pct"/>
            <w:shd w:val="clear" w:color="auto" w:fill="FFFFFF"/>
            <w:tcMar>
              <w:top w:w="10" w:type="dxa"/>
              <w:left w:w="10" w:type="dxa"/>
              <w:right w:w="10" w:type="dxa"/>
            </w:tcMar>
            <w:vAlign w:val="center"/>
          </w:tcPr>
          <w:p>
            <w:pPr>
              <w:widowControl/>
              <w:jc w:val="left"/>
              <w:textAlignment w:val="center"/>
              <w:rPr>
                <w:rFonts w:ascii="宋体" w:hAnsi="宋体"/>
              </w:rPr>
            </w:pPr>
            <w:r>
              <w:rPr>
                <w:rFonts w:hint="eastAsia" w:ascii="宋体" w:hAnsi="宋体"/>
                <w:kern w:val="0"/>
                <w:lang w:bidi="ar"/>
              </w:rPr>
              <w:t>在安全主管部门或上级部门开展网络安全检查、电子病历评级、智慧医院评级、互联互通评级时，配合客户单位应对网络安全检查。主要工作包括：检查前准备工作协助、检查时技术支撑、检查后整改工作协助。</w:t>
            </w:r>
          </w:p>
        </w:tc>
        <w:tc>
          <w:tcPr>
            <w:tcW w:w="257"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年</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《自查报告》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shd w:val="clear" w:color="auto" w:fill="FFFFFF"/>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安全意识培训</w:t>
            </w:r>
          </w:p>
        </w:tc>
        <w:tc>
          <w:tcPr>
            <w:tcW w:w="789"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医院网络安全意识</w:t>
            </w:r>
          </w:p>
        </w:tc>
        <w:tc>
          <w:tcPr>
            <w:tcW w:w="1582" w:type="pct"/>
            <w:shd w:val="clear" w:color="auto" w:fill="FFFFFF"/>
            <w:tcMar>
              <w:top w:w="10" w:type="dxa"/>
              <w:left w:w="10" w:type="dxa"/>
              <w:right w:w="10" w:type="dxa"/>
            </w:tcMar>
            <w:vAlign w:val="center"/>
          </w:tcPr>
          <w:p>
            <w:pPr>
              <w:widowControl/>
              <w:jc w:val="left"/>
              <w:textAlignment w:val="center"/>
              <w:rPr>
                <w:rFonts w:ascii="宋体" w:hAnsi="宋体"/>
              </w:rPr>
            </w:pPr>
            <w:r>
              <w:rPr>
                <w:rFonts w:hint="eastAsia" w:ascii="宋体" w:hAnsi="宋体"/>
                <w:kern w:val="0"/>
                <w:lang w:bidi="ar"/>
              </w:rPr>
              <w:t>为医院指定人员开展安全意识培训讲演，培养员工网络安全意识。</w:t>
            </w:r>
          </w:p>
        </w:tc>
        <w:tc>
          <w:tcPr>
            <w:tcW w:w="257" w:type="pct"/>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rPr>
              <w:t>次/</w:t>
            </w:r>
            <w:r>
              <w:rPr>
                <w:rFonts w:hint="eastAsia" w:ascii="宋体" w:hAnsi="宋体"/>
                <w:kern w:val="0"/>
                <w:lang w:bidi="ar"/>
              </w:rPr>
              <w:t>年</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安全意识培训PPT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shd w:val="clear" w:color="auto" w:fill="FFFFFF"/>
          </w:tcPr>
          <w:p>
            <w:pPr>
              <w:pStyle w:val="16"/>
              <w:widowControl/>
              <w:numPr>
                <w:ilvl w:val="0"/>
                <w:numId w:val="2"/>
              </w:numPr>
              <w:ind w:firstLineChars="0"/>
              <w:jc w:val="center"/>
              <w:textAlignment w:val="center"/>
              <w:rPr>
                <w:rFonts w:ascii="宋体" w:hAnsi="宋体"/>
                <w:kern w:val="0"/>
                <w:lang w:bidi="ar"/>
              </w:rPr>
            </w:pPr>
          </w:p>
        </w:tc>
        <w:tc>
          <w:tcPr>
            <w:tcW w:w="542" w:type="pct"/>
            <w:gridSpan w:val="2"/>
            <w:shd w:val="clear" w:color="auto" w:fill="FFFFFF"/>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LED屏幕安全巡检服务</w:t>
            </w:r>
          </w:p>
        </w:tc>
        <w:tc>
          <w:tcPr>
            <w:tcW w:w="789" w:type="pct"/>
            <w:shd w:val="clear" w:color="auto" w:fill="FFFFFF"/>
            <w:tcMar>
              <w:top w:w="10" w:type="dxa"/>
              <w:left w:w="10" w:type="dxa"/>
              <w:right w:w="10" w:type="dxa"/>
            </w:tcMar>
            <w:vAlign w:val="center"/>
          </w:tcPr>
          <w:p>
            <w:pPr>
              <w:widowControl/>
              <w:jc w:val="center"/>
              <w:rPr>
                <w:rFonts w:ascii="宋体" w:hAnsi="宋体"/>
              </w:rPr>
            </w:pPr>
            <w:r>
              <w:rPr>
                <w:rFonts w:hint="eastAsia" w:ascii="宋体" w:hAnsi="宋体"/>
                <w:kern w:val="0"/>
              </w:rPr>
              <w:t>户外公共电子</w:t>
            </w:r>
            <w:r>
              <w:rPr>
                <w:rFonts w:hint="eastAsia" w:ascii="宋体" w:hAnsi="宋体"/>
                <w:kern w:val="0"/>
                <w:lang w:bidi="ar"/>
              </w:rPr>
              <w:t>屏</w:t>
            </w:r>
            <w:r>
              <w:rPr>
                <w:rFonts w:hint="eastAsia" w:ascii="宋体" w:hAnsi="宋体"/>
                <w:kern w:val="0"/>
              </w:rPr>
              <w:t>显示系统</w:t>
            </w:r>
          </w:p>
        </w:tc>
        <w:tc>
          <w:tcPr>
            <w:tcW w:w="1582" w:type="pct"/>
            <w:shd w:val="clear" w:color="auto" w:fill="FFFFFF"/>
            <w:tcMar>
              <w:top w:w="10" w:type="dxa"/>
              <w:left w:w="10" w:type="dxa"/>
              <w:right w:w="10" w:type="dxa"/>
            </w:tcMar>
            <w:vAlign w:val="center"/>
          </w:tcPr>
          <w:p>
            <w:pPr>
              <w:widowControl/>
              <w:jc w:val="left"/>
              <w:rPr>
                <w:rFonts w:ascii="宋体" w:hAnsi="宋体"/>
              </w:rPr>
            </w:pPr>
            <w:r>
              <w:rPr>
                <w:rFonts w:hint="eastAsia" w:ascii="宋体" w:hAnsi="宋体"/>
                <w:kern w:val="0"/>
              </w:rPr>
              <w:t>对医院公共显示屏和管理机进行安全巡检提供安全巡检报告。</w:t>
            </w:r>
          </w:p>
        </w:tc>
        <w:tc>
          <w:tcPr>
            <w:tcW w:w="257" w:type="pct"/>
            <w:shd w:val="clear" w:color="auto" w:fill="FFFFFF"/>
            <w:tcMar>
              <w:top w:w="10" w:type="dxa"/>
              <w:left w:w="10" w:type="dxa"/>
              <w:right w:w="10" w:type="dxa"/>
            </w:tcMar>
            <w:vAlign w:val="center"/>
          </w:tcPr>
          <w:p>
            <w:pPr>
              <w:widowControl/>
              <w:jc w:val="center"/>
              <w:rPr>
                <w:rFonts w:ascii="宋体" w:hAnsi="宋体"/>
              </w:rPr>
            </w:pPr>
            <w:r>
              <w:rPr>
                <w:rFonts w:hint="eastAsia" w:ascii="宋体" w:hAnsi="宋体"/>
                <w:kern w:val="0"/>
              </w:rPr>
              <w:t>2</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rPr>
              <w:t>次/年</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LED屏幕安全巡检报告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4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网站安全监控服务</w:t>
            </w:r>
          </w:p>
        </w:tc>
        <w:tc>
          <w:tcPr>
            <w:tcW w:w="789"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医院门户网站</w:t>
            </w:r>
          </w:p>
        </w:tc>
        <w:tc>
          <w:tcPr>
            <w:tcW w:w="1582" w:type="pct"/>
            <w:tcMar>
              <w:top w:w="10" w:type="dxa"/>
              <w:left w:w="10" w:type="dxa"/>
              <w:right w:w="10" w:type="dxa"/>
            </w:tcMar>
            <w:vAlign w:val="center"/>
          </w:tcPr>
          <w:p>
            <w:pPr>
              <w:pStyle w:val="17"/>
              <w:jc w:val="center"/>
              <w:rPr>
                <w:rFonts w:ascii="Times New Roman"/>
                <w:color w:val="auto"/>
                <w:kern w:val="2"/>
                <w:sz w:val="21"/>
              </w:rPr>
            </w:pPr>
            <w:r>
              <w:rPr>
                <w:rFonts w:hint="eastAsia" w:ascii="Times New Roman"/>
                <w:color w:val="auto"/>
                <w:kern w:val="2"/>
                <w:sz w:val="21"/>
              </w:rPr>
              <w:t>由安全服务提供商，1年365天通过专业的网站安全监控平台实现在线监控并生成相关的告警。</w:t>
            </w:r>
          </w:p>
          <w:p>
            <w:pPr>
              <w:pStyle w:val="17"/>
              <w:jc w:val="center"/>
            </w:pPr>
            <w:r>
              <w:rPr>
                <w:rFonts w:hint="eastAsia" w:ascii="Times New Roman"/>
                <w:color w:val="auto"/>
                <w:kern w:val="2"/>
                <w:sz w:val="21"/>
              </w:rPr>
              <w:t>所</w:t>
            </w:r>
            <w:r>
              <w:rPr>
                <w:rFonts w:ascii="Times New Roman"/>
                <w:color w:val="auto"/>
                <w:kern w:val="2"/>
                <w:sz w:val="21"/>
              </w:rPr>
              <w:t>采用的服务工具能够对web源代码进行扫描，检查代码中的网页木马，网页挂马以及网页暗链，并支持自定义规则。服务工具具备定制化开发功能</w:t>
            </w:r>
            <w:r>
              <w:rPr>
                <w:rFonts w:hint="eastAsia" w:hAnsi="宋体"/>
                <w:b/>
                <w:lang w:bidi="ar"/>
              </w:rPr>
              <w:t>（</w:t>
            </w:r>
            <w:r>
              <w:rPr>
                <w:rFonts w:hint="eastAsia" w:hAnsi="宋体"/>
                <w:b/>
                <w:sz w:val="21"/>
                <w:szCs w:val="21"/>
                <w:lang w:bidi="ar"/>
              </w:rPr>
              <w:t>需提供截图证明）</w:t>
            </w:r>
          </w:p>
        </w:tc>
        <w:tc>
          <w:tcPr>
            <w:tcW w:w="257"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1</w:t>
            </w:r>
          </w:p>
        </w:tc>
        <w:tc>
          <w:tcPr>
            <w:tcW w:w="302" w:type="pct"/>
            <w:gridSpan w:val="2"/>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年</w:t>
            </w:r>
          </w:p>
        </w:tc>
        <w:tc>
          <w:tcPr>
            <w:tcW w:w="986" w:type="pct"/>
            <w:tcMar>
              <w:top w:w="10" w:type="dxa"/>
              <w:left w:w="10" w:type="dxa"/>
              <w:right w:w="10" w:type="dxa"/>
            </w:tcMar>
            <w:vAlign w:val="center"/>
          </w:tcPr>
          <w:p>
            <w:pPr>
              <w:widowControl/>
              <w:jc w:val="center"/>
              <w:textAlignment w:val="center"/>
              <w:rPr>
                <w:rFonts w:ascii="宋体" w:hAnsi="宋体"/>
              </w:rPr>
            </w:pPr>
            <w:r>
              <w:rPr>
                <w:rFonts w:hint="eastAsia" w:ascii="宋体" w:hAnsi="宋体"/>
                <w:kern w:val="0"/>
                <w:lang w:bidi="ar"/>
              </w:rPr>
              <w:t>每月输出安全监测报告，及时告警发现的异常事件并提供解决建议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42" w:type="pct"/>
            <w:gridSpan w:val="2"/>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安全设备状态和运行与告警问题检查</w:t>
            </w:r>
          </w:p>
        </w:tc>
        <w:tc>
          <w:tcPr>
            <w:tcW w:w="789" w:type="pct"/>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医院现有所有安全设备</w:t>
            </w:r>
          </w:p>
        </w:tc>
        <w:tc>
          <w:tcPr>
            <w:tcW w:w="1582" w:type="pct"/>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对现有所有安全软硬件的运行状态、策略匹配度、告警日志、特征库问题等进行分析检查，并协助处理已知问题。</w:t>
            </w:r>
          </w:p>
          <w:p>
            <w:pPr>
              <w:pStyle w:val="2"/>
              <w:rPr>
                <w:lang w:bidi="ar"/>
              </w:rPr>
            </w:pPr>
            <w:r>
              <w:rPr>
                <w:rFonts w:hint="eastAsia"/>
                <w:lang w:bidi="ar"/>
              </w:rPr>
              <w:t>所使用的服务工具能够：</w:t>
            </w:r>
          </w:p>
          <w:p>
            <w:pPr>
              <w:pStyle w:val="2"/>
              <w:rPr>
                <w:lang w:bidi="ar"/>
              </w:rPr>
            </w:pPr>
            <w:r>
              <w:rPr>
                <w:rFonts w:hint="eastAsia"/>
                <w:lang w:bidi="ar"/>
              </w:rPr>
              <w:t>1.支持自动识别并标识隐藏账号；</w:t>
            </w:r>
          </w:p>
          <w:p>
            <w:pPr>
              <w:pStyle w:val="2"/>
              <w:rPr>
                <w:lang w:bidi="ar"/>
              </w:rPr>
            </w:pPr>
            <w:r>
              <w:rPr>
                <w:rFonts w:hint="eastAsia"/>
                <w:lang w:bidi="ar"/>
              </w:rPr>
              <w:t>2.支持自动识别并标识仿冒操作系统自带进程的异常进程；</w:t>
            </w:r>
          </w:p>
          <w:p>
            <w:pPr>
              <w:pStyle w:val="2"/>
              <w:rPr>
                <w:lang w:bidi="ar"/>
              </w:rPr>
            </w:pPr>
            <w:r>
              <w:rPr>
                <w:rFonts w:hint="eastAsia"/>
                <w:lang w:bidi="ar"/>
              </w:rPr>
              <w:t>3.支持自动识别并标识木马后门；</w:t>
            </w:r>
          </w:p>
          <w:p>
            <w:pPr>
              <w:pStyle w:val="2"/>
              <w:rPr>
                <w:lang w:bidi="ar"/>
              </w:rPr>
            </w:pPr>
            <w:r>
              <w:rPr>
                <w:rFonts w:hint="eastAsia"/>
                <w:lang w:bidi="ar"/>
              </w:rPr>
              <w:t>4.支持自动识别异常网络连接，须标识网络连接中的IP归属地，并以不同颜色区分局域网IP、国内IP、境外IP，帮助技术人员快速识别异常网络连接。</w:t>
            </w:r>
          </w:p>
          <w:p>
            <w:pPr>
              <w:pStyle w:val="2"/>
              <w:rPr>
                <w:lang w:bidi="ar"/>
              </w:rPr>
            </w:pPr>
            <w:r>
              <w:rPr>
                <w:rFonts w:hint="eastAsia"/>
                <w:lang w:bidi="ar"/>
              </w:rPr>
              <w:t>提供产品功能截图（加盖投标人公章），采购单位有权要求中标方在中标后3个工作日内到采购单位现场进行工具能力实操演示以验证是否为虚假应标。</w:t>
            </w:r>
          </w:p>
        </w:tc>
        <w:tc>
          <w:tcPr>
            <w:tcW w:w="257" w:type="pct"/>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4</w:t>
            </w:r>
          </w:p>
        </w:tc>
        <w:tc>
          <w:tcPr>
            <w:tcW w:w="302" w:type="pct"/>
            <w:gridSpan w:val="2"/>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次</w:t>
            </w:r>
          </w:p>
        </w:tc>
        <w:tc>
          <w:tcPr>
            <w:tcW w:w="986" w:type="pct"/>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《安全检查报告》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textAlignment w:val="center"/>
              <w:rPr>
                <w:rFonts w:ascii="宋体" w:hAnsi="宋体"/>
                <w:kern w:val="0"/>
                <w:lang w:bidi="ar"/>
              </w:rPr>
            </w:pPr>
          </w:p>
        </w:tc>
        <w:tc>
          <w:tcPr>
            <w:tcW w:w="542" w:type="pct"/>
            <w:gridSpan w:val="2"/>
            <w:tcMar>
              <w:top w:w="10" w:type="dxa"/>
              <w:left w:w="10" w:type="dxa"/>
              <w:right w:w="10" w:type="dxa"/>
            </w:tcMar>
            <w:vAlign w:val="center"/>
          </w:tcPr>
          <w:p>
            <w:pPr>
              <w:widowControl/>
              <w:jc w:val="center"/>
              <w:textAlignment w:val="center"/>
              <w:rPr>
                <w:rFonts w:ascii="宋体" w:hAnsi="宋体"/>
                <w:b/>
                <w:kern w:val="0"/>
                <w:lang w:bidi="ar"/>
              </w:rPr>
            </w:pPr>
            <w:r>
              <w:rPr>
                <w:rFonts w:hint="eastAsia" w:ascii="宋体" w:hAnsi="宋体"/>
                <w:kern w:val="0"/>
                <w:lang w:bidi="ar"/>
              </w:rPr>
              <w:t>安全扫描服务</w:t>
            </w:r>
          </w:p>
        </w:tc>
        <w:tc>
          <w:tcPr>
            <w:tcW w:w="789" w:type="pct"/>
            <w:tcMar>
              <w:top w:w="10" w:type="dxa"/>
              <w:left w:w="10" w:type="dxa"/>
              <w:right w:w="10" w:type="dxa"/>
            </w:tcMar>
            <w:vAlign w:val="center"/>
          </w:tcPr>
          <w:p>
            <w:pPr>
              <w:widowControl/>
              <w:jc w:val="center"/>
              <w:textAlignment w:val="center"/>
              <w:rPr>
                <w:rFonts w:ascii="宋体" w:hAnsi="宋体"/>
                <w:bCs/>
                <w:kern w:val="0"/>
                <w:lang w:bidi="ar"/>
              </w:rPr>
            </w:pPr>
            <w:r>
              <w:rPr>
                <w:rFonts w:hint="eastAsia" w:ascii="宋体" w:hAnsi="宋体"/>
                <w:bCs/>
                <w:kern w:val="0"/>
                <w:lang w:bidi="ar"/>
              </w:rPr>
              <w:t>医院协调需要进行安全扫描的IP网段、业务系统、主机系统、中间件系统、数据库系统</w:t>
            </w:r>
          </w:p>
        </w:tc>
        <w:tc>
          <w:tcPr>
            <w:tcW w:w="1582" w:type="pct"/>
            <w:tcMar>
              <w:top w:w="10" w:type="dxa"/>
              <w:left w:w="10" w:type="dxa"/>
              <w:right w:w="10" w:type="dxa"/>
            </w:tcMar>
            <w:vAlign w:val="center"/>
          </w:tcPr>
          <w:p>
            <w:pPr>
              <w:widowControl/>
              <w:jc w:val="left"/>
              <w:textAlignment w:val="center"/>
              <w:rPr>
                <w:rFonts w:ascii="宋体" w:hAnsi="宋体"/>
                <w:kern w:val="0"/>
                <w:lang w:bidi="ar"/>
              </w:rPr>
            </w:pPr>
            <w:r>
              <w:rPr>
                <w:rFonts w:hint="eastAsia" w:ascii="宋体" w:hAnsi="宋体"/>
                <w:kern w:val="0"/>
                <w:lang w:bidi="ar"/>
              </w:rPr>
              <w:t>使用商业化的安全漏洞评估产品（工具/系统），全面检测约定服务范围内的网络设备、主机操作系统、中间件系统、数据库系统和业务应用系统中存在的安全漏洞，提供漏洞扫描报告和修复建议。</w:t>
            </w:r>
          </w:p>
          <w:p>
            <w:pPr>
              <w:pStyle w:val="2"/>
              <w:rPr>
                <w:lang w:bidi="ar"/>
              </w:rPr>
            </w:pPr>
            <w:r>
              <w:rPr>
                <w:rFonts w:hint="eastAsia"/>
                <w:lang w:bidi="ar"/>
              </w:rPr>
              <w:t>所使用的</w:t>
            </w:r>
            <w:r>
              <w:rPr>
                <w:lang w:bidi="ar"/>
              </w:rPr>
              <w:t>服务工具</w:t>
            </w:r>
            <w:r>
              <w:rPr>
                <w:rFonts w:hint="eastAsia"/>
                <w:lang w:bidi="ar"/>
              </w:rPr>
              <w:t>能够支持：</w:t>
            </w:r>
          </w:p>
          <w:p>
            <w:pPr>
              <w:pStyle w:val="2"/>
              <w:rPr>
                <w:lang w:bidi="ar"/>
              </w:rPr>
            </w:pPr>
            <w:r>
              <w:rPr>
                <w:rFonts w:hint="eastAsia"/>
                <w:lang w:bidi="ar"/>
              </w:rPr>
              <w:t>1.发现网页木马(webshell)；</w:t>
            </w:r>
          </w:p>
          <w:p>
            <w:pPr>
              <w:pStyle w:val="2"/>
              <w:rPr>
                <w:lang w:bidi="ar"/>
              </w:rPr>
            </w:pPr>
            <w:r>
              <w:rPr>
                <w:rFonts w:hint="eastAsia"/>
                <w:lang w:bidi="ar"/>
              </w:rPr>
              <w:t>2.同时支持对反动、赌博、色情等内容进行检查；</w:t>
            </w:r>
          </w:p>
          <w:p>
            <w:pPr>
              <w:pStyle w:val="2"/>
              <w:rPr>
                <w:lang w:bidi="ar"/>
              </w:rPr>
            </w:pPr>
            <w:r>
              <w:rPr>
                <w:rFonts w:hint="eastAsia"/>
                <w:lang w:bidi="ar"/>
              </w:rPr>
              <w:t>3.检查的目标文件类型不限，可同时支持PHP、ASP、JSP、ASPX、JSPX等脚本类型；</w:t>
            </w:r>
          </w:p>
          <w:p>
            <w:pPr>
              <w:pStyle w:val="2"/>
              <w:rPr>
                <w:lang w:bidi="ar"/>
              </w:rPr>
            </w:pPr>
            <w:r>
              <w:rPr>
                <w:rFonts w:hint="eastAsia"/>
                <w:lang w:bidi="ar"/>
              </w:rPr>
              <w:t>4.支持对各类威胁进行自动评分，并按照危险值从高到低进行排序；</w:t>
            </w:r>
          </w:p>
          <w:p>
            <w:pPr>
              <w:pStyle w:val="2"/>
              <w:rPr>
                <w:lang w:bidi="ar"/>
              </w:rPr>
            </w:pPr>
            <w:r>
              <w:rPr>
                <w:rFonts w:hint="eastAsia"/>
                <w:lang w:bidi="ar"/>
              </w:rPr>
              <w:t>5.支持导出检测结果；</w:t>
            </w:r>
          </w:p>
          <w:p>
            <w:pPr>
              <w:pStyle w:val="2"/>
              <w:rPr>
                <w:lang w:bidi="ar"/>
              </w:rPr>
            </w:pPr>
            <w:r>
              <w:rPr>
                <w:rFonts w:hint="eastAsia"/>
                <w:lang w:bidi="ar"/>
              </w:rPr>
              <w:t>6.支持对可疑文件进行批量复制或批量删除。</w:t>
            </w:r>
          </w:p>
          <w:p>
            <w:pPr>
              <w:pStyle w:val="2"/>
              <w:rPr>
                <w:lang w:bidi="ar"/>
              </w:rPr>
            </w:pPr>
            <w:r>
              <w:rPr>
                <w:rFonts w:hint="eastAsia"/>
                <w:lang w:bidi="ar"/>
              </w:rPr>
              <w:t>提供产品功能截图（加盖投标人公章），采购单位有权要求中标方在中标后3个工作日内到采购单位现场进行工具能力实操演示以验证是否为虚假应标。</w:t>
            </w:r>
          </w:p>
        </w:tc>
        <w:tc>
          <w:tcPr>
            <w:tcW w:w="257" w:type="pct"/>
            <w:tcMar>
              <w:top w:w="10" w:type="dxa"/>
              <w:left w:w="10" w:type="dxa"/>
              <w:right w:w="10" w:type="dxa"/>
            </w:tcMar>
            <w:vAlign w:val="center"/>
          </w:tcPr>
          <w:p>
            <w:pPr>
              <w:widowControl/>
              <w:jc w:val="center"/>
              <w:textAlignment w:val="center"/>
              <w:rPr>
                <w:rFonts w:ascii="宋体" w:hAnsi="宋体"/>
                <w:b/>
                <w:kern w:val="0"/>
                <w:lang w:bidi="ar"/>
              </w:rPr>
            </w:pPr>
            <w:r>
              <w:rPr>
                <w:rFonts w:hint="eastAsia" w:ascii="宋体" w:hAnsi="宋体"/>
                <w:kern w:val="0"/>
                <w:lang w:bidi="ar"/>
              </w:rPr>
              <w:t>4</w:t>
            </w:r>
          </w:p>
        </w:tc>
        <w:tc>
          <w:tcPr>
            <w:tcW w:w="302" w:type="pct"/>
            <w:gridSpan w:val="2"/>
            <w:tcMar>
              <w:top w:w="10" w:type="dxa"/>
              <w:left w:w="10" w:type="dxa"/>
              <w:right w:w="10" w:type="dxa"/>
            </w:tcMar>
            <w:vAlign w:val="center"/>
          </w:tcPr>
          <w:p>
            <w:pPr>
              <w:widowControl/>
              <w:jc w:val="center"/>
              <w:textAlignment w:val="center"/>
              <w:rPr>
                <w:rFonts w:ascii="宋体" w:hAnsi="宋体"/>
                <w:bCs/>
                <w:kern w:val="0"/>
                <w:lang w:bidi="ar"/>
              </w:rPr>
            </w:pPr>
            <w:r>
              <w:rPr>
                <w:rFonts w:hint="eastAsia" w:ascii="宋体" w:hAnsi="宋体"/>
                <w:bCs/>
                <w:kern w:val="0"/>
                <w:lang w:bidi="ar"/>
              </w:rPr>
              <w:t>次</w:t>
            </w:r>
            <w:r>
              <w:rPr>
                <w:rFonts w:hint="eastAsia" w:ascii="宋体" w:hAnsi="宋体"/>
                <w:kern w:val="0"/>
              </w:rPr>
              <w:t>/年</w:t>
            </w:r>
          </w:p>
        </w:tc>
        <w:tc>
          <w:tcPr>
            <w:tcW w:w="986" w:type="pct"/>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信息资产表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rPr>
                <w:rFonts w:ascii="宋体" w:hAnsi="宋体"/>
                <w:kern w:val="0"/>
              </w:rPr>
            </w:pPr>
          </w:p>
        </w:tc>
        <w:tc>
          <w:tcPr>
            <w:tcW w:w="542" w:type="pct"/>
            <w:gridSpan w:val="2"/>
            <w:tcMar>
              <w:top w:w="10" w:type="dxa"/>
              <w:left w:w="10" w:type="dxa"/>
              <w:right w:w="10" w:type="dxa"/>
            </w:tcMar>
            <w:vAlign w:val="center"/>
          </w:tcPr>
          <w:p>
            <w:pPr>
              <w:widowControl/>
              <w:jc w:val="center"/>
              <w:rPr>
                <w:rFonts w:ascii="宋体" w:hAnsi="宋体"/>
                <w:kern w:val="0"/>
                <w:lang w:bidi="ar"/>
              </w:rPr>
            </w:pPr>
            <w:r>
              <w:rPr>
                <w:rFonts w:hint="eastAsia" w:ascii="宋体" w:hAnsi="宋体"/>
                <w:kern w:val="0"/>
              </w:rPr>
              <w:t>资产梳理与调研服务</w:t>
            </w:r>
          </w:p>
        </w:tc>
        <w:tc>
          <w:tcPr>
            <w:tcW w:w="789" w:type="pct"/>
            <w:tcMar>
              <w:top w:w="10" w:type="dxa"/>
              <w:left w:w="10" w:type="dxa"/>
              <w:right w:w="10" w:type="dxa"/>
            </w:tcMar>
            <w:vAlign w:val="center"/>
          </w:tcPr>
          <w:p>
            <w:pPr>
              <w:widowControl/>
              <w:jc w:val="center"/>
              <w:rPr>
                <w:rFonts w:ascii="宋体" w:hAnsi="宋体"/>
                <w:kern w:val="0"/>
                <w:lang w:bidi="ar"/>
              </w:rPr>
            </w:pPr>
            <w:r>
              <w:rPr>
                <w:rFonts w:hint="eastAsia" w:ascii="宋体" w:hAnsi="宋体"/>
                <w:kern w:val="0"/>
              </w:rPr>
              <w:t>医院机房网络安全软硬件设备信息</w:t>
            </w:r>
          </w:p>
        </w:tc>
        <w:tc>
          <w:tcPr>
            <w:tcW w:w="1582" w:type="pct"/>
            <w:tcMar>
              <w:top w:w="10" w:type="dxa"/>
              <w:left w:w="10" w:type="dxa"/>
              <w:right w:w="10" w:type="dxa"/>
            </w:tcMar>
            <w:vAlign w:val="center"/>
          </w:tcPr>
          <w:p>
            <w:pPr>
              <w:widowControl/>
              <w:jc w:val="left"/>
              <w:rPr>
                <w:rFonts w:ascii="宋体" w:hAnsi="宋体"/>
                <w:kern w:val="0"/>
              </w:rPr>
            </w:pPr>
            <w:r>
              <w:rPr>
                <w:rFonts w:hint="eastAsia" w:ascii="宋体" w:hAnsi="宋体"/>
                <w:kern w:val="0"/>
              </w:rPr>
              <w:t>对医院已定级备案的信息系统的相关组织、管理和IT环境进行调研，全面、准确、深入的了解和描述客户信息系统现状，以及确定安全运维工作的相关人员职责；根据信息支持调研表不同内容，依据等保2.0第三级标准和其他国家网络安全法律法规内容来分析跟进处理可能存在安全不足点，提供对应解决建议，协助提升医院网络安全建设的规范性和实际符合医院网络安全建设的需求。信息资产调查表（包含但不限于网络拓扑图、各类网络和安全设备、医院已定级备案的重要业务系统等相关IP、登陆地址、管理主机、账号密码、购入时间、过保时间、序列号、部署位置等）。</w:t>
            </w:r>
          </w:p>
          <w:p>
            <w:pPr>
              <w:pStyle w:val="2"/>
            </w:pPr>
            <w:r>
              <w:rPr>
                <w:rFonts w:hint="eastAsia" w:cs="宋体" w:asciiTheme="minorEastAsia" w:hAnsiTheme="minorEastAsia" w:eastAsiaTheme="minorEastAsia"/>
                <w:kern w:val="0"/>
                <w:szCs w:val="21"/>
              </w:rPr>
              <w:t>所</w:t>
            </w:r>
            <w:r>
              <w:rPr>
                <w:rFonts w:cs="宋体" w:asciiTheme="minorEastAsia" w:hAnsiTheme="minorEastAsia" w:eastAsiaTheme="minorEastAsia"/>
                <w:kern w:val="0"/>
                <w:szCs w:val="21"/>
              </w:rPr>
              <w:t>采用的服务工具</w:t>
            </w:r>
            <w:r>
              <w:rPr>
                <w:rFonts w:ascii="宋体" w:hAnsi="宋体" w:cs="宋体"/>
                <w:kern w:val="0"/>
                <w:szCs w:val="21"/>
              </w:rPr>
              <w:t>能够</w:t>
            </w:r>
            <w:bookmarkStart w:id="0" w:name="_Hlk19630670"/>
            <w:r>
              <w:rPr>
                <w:rFonts w:ascii="宋体" w:hAnsi="宋体" w:cs="宋体"/>
                <w:kern w:val="0"/>
                <w:szCs w:val="21"/>
              </w:rPr>
              <w:t>对</w:t>
            </w:r>
            <w:r>
              <w:rPr>
                <w:rFonts w:hint="eastAsia" w:ascii="宋体" w:hAnsi="宋体" w:cs="宋体"/>
                <w:kern w:val="0"/>
                <w:szCs w:val="21"/>
              </w:rPr>
              <w:t>网络空间资产进行探测</w:t>
            </w:r>
            <w:bookmarkEnd w:id="0"/>
            <w:r>
              <w:rPr>
                <w:rFonts w:ascii="宋体" w:hAnsi="宋体" w:cs="宋体"/>
                <w:kern w:val="0"/>
                <w:szCs w:val="21"/>
              </w:rPr>
              <w:t>，</w:t>
            </w:r>
            <w:bookmarkStart w:id="1" w:name="_Hlk19689478"/>
            <w:r>
              <w:rPr>
                <w:rFonts w:hint="eastAsia" w:ascii="宋体" w:hAnsi="宋体" w:cs="宋体"/>
                <w:kern w:val="0"/>
                <w:szCs w:val="21"/>
              </w:rPr>
              <w:t>探测展示结果包含不限于：操作系统、Web容器、开发语言、安全防护、城市、年份、端口、协议等；可以展示模糊查询对象的IP、地理位置、信息系统的应用开发语言、中间件及操作系统类型等；具有统计分析功能，可以统计站点、端口及IP数量；</w:t>
            </w:r>
            <w:r>
              <w:rPr>
                <w:rFonts w:ascii="宋体" w:hAnsi="宋体" w:cs="宋体"/>
                <w:kern w:val="0"/>
                <w:szCs w:val="21"/>
              </w:rPr>
              <w:t>并提供截图。</w:t>
            </w:r>
            <w:bookmarkEnd w:id="1"/>
            <w:r>
              <w:rPr>
                <w:rFonts w:ascii="宋体" w:hAnsi="宋体" w:cs="宋体"/>
                <w:kern w:val="0"/>
                <w:szCs w:val="21"/>
              </w:rPr>
              <w:t>服务工具具备定制化开发功能。</w:t>
            </w:r>
            <w:r>
              <w:rPr>
                <w:rFonts w:hint="eastAsia" w:ascii="宋体" w:hAnsi="宋体"/>
                <w:b/>
                <w:kern w:val="0"/>
                <w:lang w:bidi="ar"/>
              </w:rPr>
              <w:t>（</w:t>
            </w:r>
            <w:r>
              <w:rPr>
                <w:rFonts w:hint="eastAsia" w:ascii="宋体" w:hAnsi="宋体"/>
                <w:b/>
                <w:kern w:val="0"/>
                <w:szCs w:val="21"/>
                <w:lang w:bidi="ar"/>
              </w:rPr>
              <w:t>需提供截图证明）</w:t>
            </w:r>
          </w:p>
        </w:tc>
        <w:tc>
          <w:tcPr>
            <w:tcW w:w="257" w:type="pct"/>
            <w:tcMar>
              <w:top w:w="10" w:type="dxa"/>
              <w:left w:w="10" w:type="dxa"/>
              <w:right w:w="10" w:type="dxa"/>
            </w:tcMar>
            <w:vAlign w:val="center"/>
          </w:tcPr>
          <w:p>
            <w:pPr>
              <w:widowControl/>
              <w:jc w:val="center"/>
              <w:rPr>
                <w:rFonts w:ascii="宋体" w:hAnsi="宋体"/>
                <w:kern w:val="0"/>
                <w:lang w:bidi="ar"/>
              </w:rPr>
            </w:pPr>
            <w:r>
              <w:rPr>
                <w:rFonts w:hint="eastAsia" w:ascii="宋体" w:hAnsi="宋体"/>
                <w:kern w:val="0"/>
              </w:rPr>
              <w:t>1</w:t>
            </w:r>
          </w:p>
        </w:tc>
        <w:tc>
          <w:tcPr>
            <w:tcW w:w="302" w:type="pct"/>
            <w:gridSpan w:val="2"/>
            <w:tcMar>
              <w:top w:w="10" w:type="dxa"/>
              <w:left w:w="10" w:type="dxa"/>
              <w:right w:w="10" w:type="dxa"/>
            </w:tcMar>
            <w:vAlign w:val="center"/>
          </w:tcPr>
          <w:p>
            <w:pPr>
              <w:widowControl/>
              <w:jc w:val="center"/>
              <w:rPr>
                <w:rFonts w:ascii="宋体" w:hAnsi="宋体"/>
                <w:kern w:val="0"/>
                <w:lang w:bidi="ar"/>
              </w:rPr>
            </w:pPr>
            <w:r>
              <w:rPr>
                <w:rFonts w:hint="eastAsia" w:ascii="宋体" w:hAnsi="宋体"/>
                <w:kern w:val="0"/>
              </w:rPr>
              <w:t>次/年</w:t>
            </w:r>
          </w:p>
        </w:tc>
        <w:tc>
          <w:tcPr>
            <w:tcW w:w="986" w:type="pct"/>
            <w:tcMar>
              <w:top w:w="10" w:type="dxa"/>
              <w:left w:w="10" w:type="dxa"/>
              <w:right w:w="10" w:type="dxa"/>
            </w:tcMar>
            <w:vAlign w:val="center"/>
          </w:tcPr>
          <w:p>
            <w:pPr>
              <w:widowControl/>
              <w:jc w:val="center"/>
              <w:textAlignment w:val="center"/>
              <w:rPr>
                <w:rFonts w:ascii="宋体" w:hAnsi="宋体"/>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rPr>
                <w:rFonts w:ascii="宋体" w:hAnsi="宋体"/>
                <w:kern w:val="0"/>
              </w:rPr>
            </w:pPr>
          </w:p>
        </w:tc>
        <w:tc>
          <w:tcPr>
            <w:tcW w:w="542" w:type="pct"/>
            <w:gridSpan w:val="2"/>
            <w:tcMar>
              <w:top w:w="10" w:type="dxa"/>
              <w:left w:w="10" w:type="dxa"/>
              <w:right w:w="10" w:type="dxa"/>
            </w:tcMar>
            <w:vAlign w:val="center"/>
          </w:tcPr>
          <w:p>
            <w:pPr>
              <w:widowControl/>
              <w:jc w:val="center"/>
              <w:rPr>
                <w:rFonts w:ascii="宋体" w:hAnsi="宋体"/>
                <w:kern w:val="0"/>
              </w:rPr>
            </w:pPr>
            <w:r>
              <w:rPr>
                <w:rFonts w:hint="eastAsia" w:ascii="宋体" w:hAnsi="宋体"/>
                <w:kern w:val="0"/>
              </w:rPr>
              <w:t>APP安全加固</w:t>
            </w:r>
          </w:p>
        </w:tc>
        <w:tc>
          <w:tcPr>
            <w:tcW w:w="789" w:type="pct"/>
            <w:tcMar>
              <w:top w:w="10" w:type="dxa"/>
              <w:left w:w="10" w:type="dxa"/>
              <w:right w:w="10" w:type="dxa"/>
            </w:tcMar>
            <w:vAlign w:val="center"/>
          </w:tcPr>
          <w:p>
            <w:pPr>
              <w:widowControl/>
              <w:jc w:val="center"/>
              <w:rPr>
                <w:rFonts w:ascii="宋体" w:hAnsi="宋体"/>
                <w:kern w:val="0"/>
              </w:rPr>
            </w:pPr>
          </w:p>
        </w:tc>
        <w:tc>
          <w:tcPr>
            <w:tcW w:w="1582" w:type="pct"/>
            <w:tcMar>
              <w:top w:w="10" w:type="dxa"/>
              <w:left w:w="10" w:type="dxa"/>
              <w:right w:w="10" w:type="dxa"/>
            </w:tcMar>
            <w:vAlign w:val="center"/>
          </w:tcPr>
          <w:p>
            <w:pPr>
              <w:jc w:val="left"/>
              <w:rPr>
                <w:rFonts w:ascii="宋体" w:hAnsi="宋体"/>
              </w:rPr>
            </w:pPr>
            <w:r>
              <w:rPr>
                <w:rFonts w:hint="eastAsia" w:ascii="宋体" w:hAnsi="宋体"/>
              </w:rPr>
              <w:t>针对医院现有的移动APP客户端，提供安卓与IOS版本的客户端各1个的安全检测与加固，减小APP引发的安全问题概率。</w:t>
            </w:r>
          </w:p>
        </w:tc>
        <w:tc>
          <w:tcPr>
            <w:tcW w:w="257" w:type="pct"/>
            <w:tcMar>
              <w:top w:w="10" w:type="dxa"/>
              <w:left w:w="10" w:type="dxa"/>
              <w:right w:w="10" w:type="dxa"/>
            </w:tcMar>
            <w:vAlign w:val="center"/>
          </w:tcPr>
          <w:p>
            <w:pPr>
              <w:widowControl/>
              <w:jc w:val="center"/>
              <w:rPr>
                <w:rFonts w:ascii="宋体" w:hAnsi="宋体"/>
                <w:kern w:val="0"/>
              </w:rPr>
            </w:pPr>
            <w:r>
              <w:rPr>
                <w:rFonts w:hint="eastAsia" w:ascii="宋体" w:hAnsi="宋体"/>
                <w:kern w:val="0"/>
              </w:rPr>
              <w:t>1</w:t>
            </w:r>
          </w:p>
        </w:tc>
        <w:tc>
          <w:tcPr>
            <w:tcW w:w="302" w:type="pct"/>
            <w:gridSpan w:val="2"/>
            <w:tcMar>
              <w:top w:w="10" w:type="dxa"/>
              <w:left w:w="10" w:type="dxa"/>
              <w:right w:w="10" w:type="dxa"/>
            </w:tcMar>
            <w:vAlign w:val="center"/>
          </w:tcPr>
          <w:p>
            <w:pPr>
              <w:widowControl/>
              <w:jc w:val="center"/>
              <w:rPr>
                <w:rFonts w:ascii="宋体" w:hAnsi="宋体"/>
                <w:kern w:val="0"/>
              </w:rPr>
            </w:pPr>
            <w:r>
              <w:rPr>
                <w:rFonts w:hint="eastAsia" w:ascii="宋体" w:hAnsi="宋体"/>
                <w:kern w:val="0"/>
              </w:rPr>
              <w:t>个/年</w:t>
            </w:r>
          </w:p>
        </w:tc>
        <w:tc>
          <w:tcPr>
            <w:tcW w:w="986" w:type="pct"/>
            <w:tcMar>
              <w:top w:w="10" w:type="dxa"/>
              <w:left w:w="10" w:type="dxa"/>
              <w:right w:w="10" w:type="dxa"/>
            </w:tcMar>
            <w:vAlign w:val="center"/>
          </w:tcPr>
          <w:p>
            <w:pPr>
              <w:widowControl/>
              <w:jc w:val="center"/>
              <w:textAlignment w:val="center"/>
              <w:rPr>
                <w:rFonts w:ascii="宋体" w:hAnsi="宋体"/>
                <w:kern w:val="0"/>
                <w:lang w:bidi="ar"/>
              </w:rPr>
            </w:pPr>
            <w:r>
              <w:rPr>
                <w:rFonts w:hint="eastAsia" w:ascii="宋体" w:hAnsi="宋体"/>
                <w:kern w:val="0"/>
                <w:lang w:bidi="ar"/>
              </w:rPr>
              <w:t>APP安全加固包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pPr>
          </w:p>
        </w:tc>
        <w:tc>
          <w:tcPr>
            <w:tcW w:w="542" w:type="pct"/>
            <w:gridSpan w:val="2"/>
            <w:tcMar>
              <w:top w:w="10" w:type="dxa"/>
              <w:left w:w="10" w:type="dxa"/>
              <w:right w:w="10" w:type="dxa"/>
            </w:tcMar>
          </w:tcPr>
          <w:p>
            <w:pPr>
              <w:widowControl/>
              <w:jc w:val="center"/>
              <w:rPr>
                <w:rFonts w:ascii="宋体" w:hAnsi="宋体"/>
                <w:kern w:val="0"/>
              </w:rPr>
            </w:pPr>
            <w:r>
              <w:rPr>
                <w:rFonts w:hint="eastAsia"/>
              </w:rPr>
              <w:t>云主机监控服务</w:t>
            </w:r>
          </w:p>
        </w:tc>
        <w:tc>
          <w:tcPr>
            <w:tcW w:w="789" w:type="pct"/>
            <w:tcMar>
              <w:top w:w="10" w:type="dxa"/>
              <w:left w:w="10" w:type="dxa"/>
              <w:right w:w="10" w:type="dxa"/>
            </w:tcMar>
          </w:tcPr>
          <w:p>
            <w:pPr>
              <w:widowControl/>
              <w:jc w:val="center"/>
              <w:rPr>
                <w:rFonts w:ascii="宋体" w:hAnsi="宋体"/>
                <w:kern w:val="0"/>
              </w:rPr>
            </w:pPr>
            <w:r>
              <w:rPr>
                <w:rFonts w:hint="eastAsia"/>
              </w:rPr>
              <w:t>重要系统服务器</w:t>
            </w:r>
          </w:p>
        </w:tc>
        <w:tc>
          <w:tcPr>
            <w:tcW w:w="1582" w:type="pct"/>
            <w:tcMar>
              <w:top w:w="10" w:type="dxa"/>
              <w:left w:w="10" w:type="dxa"/>
              <w:right w:w="10" w:type="dxa"/>
            </w:tcMar>
          </w:tcPr>
          <w:p>
            <w:pPr>
              <w:jc w:val="left"/>
            </w:pPr>
            <w:r>
              <w:rPr>
                <w:rFonts w:hint="eastAsia"/>
              </w:rPr>
              <w:t>在重要系统服务器上安装轻量级agent程序。通过主机安全监控系统，进行7*24小时的监控，一旦发现网页木马、主机操作风险、主机配置变更，则提供告警。协助管理人员对服务器安全配置和黑客入侵痕迹进行监控，快速发现服务器配置问题和黑客入侵告警，有效保护服务器系统的安全。</w:t>
            </w:r>
          </w:p>
          <w:p>
            <w:pPr>
              <w:pStyle w:val="2"/>
              <w:numPr>
                <w:ilvl w:val="0"/>
                <w:numId w:val="3"/>
              </w:numPr>
            </w:pPr>
            <w:r>
              <w:rPr>
                <w:rFonts w:hint="eastAsia"/>
              </w:rPr>
              <w:t>所采用的云主机监控服务工具能够监控网页木马(webshell)，投标人提供‘模拟黑客利用漏洞入侵应用系统，进行植入网页木马(webshell)等入侵行为；主机安全监控系统应能够发现网页木马并生成相关的告警，并能够查看告警信息和对应的敏感文件内容’过程的功能截图。提供不少于5张功能截图。</w:t>
            </w:r>
          </w:p>
          <w:p>
            <w:pPr>
              <w:pStyle w:val="2"/>
              <w:numPr>
                <w:ilvl w:val="0"/>
                <w:numId w:val="3"/>
              </w:numPr>
            </w:pPr>
            <w:r>
              <w:rPr>
                <w:rFonts w:hint="eastAsia"/>
              </w:rPr>
              <w:t>所采用的主机安全监控系统服务工具对能够监控黑客入侵过程中修改系统账号、创建敏感文件、植入Rootkit后门等行为，投标人提供‘通过模拟黑客利用系统漏洞，向被监控的应用系统主机添加隐藏账号(例如：hack$)，主机安全监控系统应能在1分钟内生成相关的告警，并能够查看告警信息和对应的黑客添加的系统账号名称’过程的功能截图。提供不少于5张功能截图。</w:t>
            </w:r>
          </w:p>
          <w:p>
            <w:pPr>
              <w:pStyle w:val="2"/>
              <w:numPr>
                <w:ilvl w:val="0"/>
                <w:numId w:val="3"/>
              </w:numPr>
            </w:pPr>
            <w:r>
              <w:rPr>
                <w:rFonts w:hint="eastAsia"/>
              </w:rPr>
              <w:t>所采用的主机安全监控系统服务工具能够提供基线检查和管理功能，对常见的系统共享配置、帐号等默认策略进行检测和管理，而且能够自主添加和删除新的策略，并能够对检查结果准备进行分类统计。投标人提供‘通过模拟黑客利用系统漏洞，向被监控的应用系统主机更改主机系统安全审计策略(例如：审核帐号管理)，主机安全监控系统应能在1分钟内生成相关的告警，并能够查看告警信息’过程的功能截图。提供不少于5张功能截图。</w:t>
            </w:r>
          </w:p>
          <w:p>
            <w:pPr>
              <w:pStyle w:val="2"/>
              <w:numPr>
                <w:ilvl w:val="0"/>
                <w:numId w:val="3"/>
              </w:numPr>
            </w:pPr>
            <w:r>
              <w:rPr>
                <w:rFonts w:hint="eastAsia"/>
              </w:rPr>
              <w:t>所采用的云主机监控服务工具能展示所有监控主机资产信息，包括：分组/分类、IP地址/MAC、主机代号、标题/备注、主机名、操作系统、修改/锁定/删除。而且能够在主机监控页面上能直观展现告警趋势、监控详情、系统配置监控、采集记录情况。提供不少于5张功能截图。</w:t>
            </w:r>
          </w:p>
        </w:tc>
        <w:tc>
          <w:tcPr>
            <w:tcW w:w="257" w:type="pct"/>
            <w:tcMar>
              <w:top w:w="10" w:type="dxa"/>
              <w:left w:w="10" w:type="dxa"/>
              <w:right w:w="10" w:type="dxa"/>
            </w:tcMar>
          </w:tcPr>
          <w:p>
            <w:pPr>
              <w:widowControl/>
              <w:jc w:val="center"/>
              <w:rPr>
                <w:rFonts w:ascii="宋体" w:hAnsi="宋体"/>
                <w:kern w:val="0"/>
              </w:rPr>
            </w:pPr>
            <w:r>
              <w:rPr>
                <w:rFonts w:hint="eastAsia"/>
              </w:rPr>
              <w:t>1</w:t>
            </w:r>
          </w:p>
        </w:tc>
        <w:tc>
          <w:tcPr>
            <w:tcW w:w="302" w:type="pct"/>
            <w:gridSpan w:val="2"/>
            <w:tcMar>
              <w:top w:w="10" w:type="dxa"/>
              <w:left w:w="10" w:type="dxa"/>
              <w:right w:w="10" w:type="dxa"/>
            </w:tcMar>
          </w:tcPr>
          <w:p>
            <w:pPr>
              <w:widowControl/>
              <w:jc w:val="center"/>
              <w:rPr>
                <w:rFonts w:ascii="宋体" w:hAnsi="宋体"/>
                <w:kern w:val="0"/>
              </w:rPr>
            </w:pPr>
            <w:r>
              <w:rPr>
                <w:rFonts w:hint="eastAsia"/>
              </w:rPr>
              <w:t>年</w:t>
            </w:r>
          </w:p>
        </w:tc>
        <w:tc>
          <w:tcPr>
            <w:tcW w:w="986" w:type="pct"/>
            <w:tcMar>
              <w:top w:w="10" w:type="dxa"/>
              <w:left w:w="10" w:type="dxa"/>
              <w:right w:w="10" w:type="dxa"/>
            </w:tcMar>
          </w:tcPr>
          <w:p>
            <w:pPr>
              <w:widowControl/>
              <w:jc w:val="center"/>
              <w:textAlignment w:val="center"/>
              <w:rPr>
                <w:rFonts w:ascii="宋体" w:hAnsi="宋体"/>
                <w:kern w:val="0"/>
                <w:lang w:bidi="ar"/>
              </w:rPr>
            </w:pPr>
            <w:r>
              <w:rPr>
                <w:rFonts w:hint="eastAsia"/>
              </w:rPr>
              <w:t>《云主机监控报告》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38" w:type="pct"/>
          </w:tcPr>
          <w:p>
            <w:pPr>
              <w:pStyle w:val="16"/>
              <w:widowControl/>
              <w:numPr>
                <w:ilvl w:val="0"/>
                <w:numId w:val="2"/>
              </w:numPr>
              <w:ind w:firstLineChars="0"/>
              <w:jc w:val="center"/>
            </w:pPr>
          </w:p>
        </w:tc>
        <w:tc>
          <w:tcPr>
            <w:tcW w:w="542" w:type="pct"/>
            <w:gridSpan w:val="2"/>
            <w:tcMar>
              <w:top w:w="10" w:type="dxa"/>
              <w:left w:w="10" w:type="dxa"/>
              <w:right w:w="10" w:type="dxa"/>
            </w:tcMar>
          </w:tcPr>
          <w:p>
            <w:pPr>
              <w:widowControl/>
              <w:jc w:val="center"/>
              <w:rPr>
                <w:rFonts w:ascii="宋体" w:hAnsi="宋体"/>
                <w:kern w:val="0"/>
              </w:rPr>
            </w:pPr>
            <w:r>
              <w:rPr>
                <w:rFonts w:hint="eastAsia"/>
              </w:rPr>
              <w:t>人员驻点服务</w:t>
            </w:r>
          </w:p>
        </w:tc>
        <w:tc>
          <w:tcPr>
            <w:tcW w:w="789" w:type="pct"/>
            <w:tcMar>
              <w:top w:w="10" w:type="dxa"/>
              <w:left w:w="10" w:type="dxa"/>
              <w:right w:w="10" w:type="dxa"/>
            </w:tcMar>
          </w:tcPr>
          <w:p>
            <w:pPr>
              <w:widowControl/>
              <w:jc w:val="center"/>
              <w:rPr>
                <w:rFonts w:ascii="宋体" w:hAnsi="宋体"/>
                <w:kern w:val="0"/>
              </w:rPr>
            </w:pPr>
            <w:r>
              <w:rPr>
                <w:rFonts w:hint="eastAsia"/>
              </w:rPr>
              <w:t>采购方现场</w:t>
            </w:r>
          </w:p>
        </w:tc>
        <w:tc>
          <w:tcPr>
            <w:tcW w:w="1582" w:type="pct"/>
            <w:tcMar>
              <w:top w:w="10" w:type="dxa"/>
              <w:left w:w="10" w:type="dxa"/>
              <w:right w:w="10" w:type="dxa"/>
            </w:tcMar>
          </w:tcPr>
          <w:p>
            <w:pPr>
              <w:pStyle w:val="2"/>
              <w:rPr>
                <w:rFonts w:hint="eastAsia"/>
              </w:rPr>
            </w:pPr>
            <w:r>
              <w:rPr>
                <w:rFonts w:hint="eastAsia"/>
              </w:rPr>
              <w:t>驻点安全工程师进行日常软硬件产品运维管理和相关网络安全运维工作，进行常态化安全运维服务，满足如下要求及内容：</w:t>
            </w:r>
          </w:p>
          <w:p>
            <w:pPr>
              <w:pStyle w:val="2"/>
              <w:rPr>
                <w:rFonts w:hint="eastAsia"/>
              </w:rPr>
            </w:pPr>
            <w:r>
              <w:rPr>
                <w:rFonts w:hint="eastAsia"/>
              </w:rPr>
              <w:t>1)驻点工程师为计算机类相关专业，本科以上学历，有两年以上的网络安全服务工作经验。</w:t>
            </w:r>
          </w:p>
          <w:p>
            <w:pPr>
              <w:pStyle w:val="2"/>
              <w:rPr>
                <w:rFonts w:hint="eastAsia"/>
              </w:rPr>
            </w:pPr>
            <w:r>
              <w:rPr>
                <w:rFonts w:hint="eastAsia"/>
              </w:rPr>
              <w:t>2)保证1人×8小时×5天采购方现场驻点，其余时间（含周末、法定节假日等）听班；若有紧急突发事件或计划性工作安排，需到采购方现场提供运维技术保障；提供1年365天的7×24小时网络安全应急支撑响应服务。</w:t>
            </w:r>
          </w:p>
          <w:p>
            <w:pPr>
              <w:pStyle w:val="2"/>
              <w:rPr>
                <w:rFonts w:hint="eastAsia"/>
              </w:rPr>
            </w:pPr>
            <w:r>
              <w:rPr>
                <w:rFonts w:hint="eastAsia"/>
              </w:rPr>
              <w:t>3)熟悉医院及市场主流网络及安全产品的配置和操作。</w:t>
            </w:r>
          </w:p>
          <w:p>
            <w:pPr>
              <w:pStyle w:val="2"/>
              <w:rPr>
                <w:rFonts w:hint="eastAsia"/>
              </w:rPr>
            </w:pPr>
            <w:r>
              <w:rPr>
                <w:rFonts w:hint="eastAsia"/>
              </w:rPr>
              <w:t>4) 协助进行安全设备基础策略配置。</w:t>
            </w:r>
          </w:p>
          <w:p>
            <w:pPr>
              <w:pStyle w:val="2"/>
              <w:rPr>
                <w:rFonts w:hint="eastAsia"/>
              </w:rPr>
            </w:pPr>
            <w:r>
              <w:rPr>
                <w:rFonts w:hint="eastAsia"/>
              </w:rPr>
              <w:t>5)能根据采购方现有网络安全现状，提供合理化的完善整改建议。</w:t>
            </w:r>
          </w:p>
          <w:p>
            <w:pPr>
              <w:pStyle w:val="2"/>
              <w:rPr>
                <w:rFonts w:hint="eastAsia"/>
              </w:rPr>
            </w:pPr>
            <w:r>
              <w:rPr>
                <w:rFonts w:hint="eastAsia"/>
              </w:rPr>
              <w:t>6)定期收集、汇整、核对采购方网络安全资产信息。</w:t>
            </w:r>
          </w:p>
          <w:p>
            <w:pPr>
              <w:pStyle w:val="2"/>
              <w:rPr>
                <w:rFonts w:hint="eastAsia"/>
              </w:rPr>
            </w:pPr>
            <w:r>
              <w:rPr>
                <w:rFonts w:hint="eastAsia"/>
              </w:rPr>
              <w:t>7)定期对采购方机房、弱电井内的网络安全设备进行物理安全巡检，并予以记录及跟踪。</w:t>
            </w:r>
          </w:p>
          <w:p>
            <w:pPr>
              <w:pStyle w:val="2"/>
              <w:rPr>
                <w:rFonts w:hint="eastAsia"/>
              </w:rPr>
            </w:pPr>
            <w:r>
              <w:rPr>
                <w:rFonts w:hint="eastAsia"/>
              </w:rPr>
              <w:t>8)按照等保2.0要求，完成对采购方服务器、数据库、中间件、网络安全设备等日常安全加固辅助工作。</w:t>
            </w:r>
          </w:p>
          <w:p>
            <w:pPr>
              <w:pStyle w:val="2"/>
              <w:rPr>
                <w:rFonts w:hint="eastAsia"/>
              </w:rPr>
            </w:pPr>
            <w:r>
              <w:rPr>
                <w:rFonts w:hint="eastAsia"/>
              </w:rPr>
              <w:t>9)实时跟进采购方IT运维管理平台和其他安全预警、审计设备中的预警及告警信息，记录、分析并处理。</w:t>
            </w:r>
          </w:p>
          <w:p>
            <w:pPr>
              <w:pStyle w:val="2"/>
              <w:rPr>
                <w:rFonts w:hint="eastAsia"/>
              </w:rPr>
            </w:pPr>
            <w:r>
              <w:rPr>
                <w:rFonts w:hint="eastAsia"/>
              </w:rPr>
              <w:t>10)密切关注网上或其他渠道获取的安全预警或漏洞信息，及时通告院方并跟进处理。</w:t>
            </w:r>
          </w:p>
          <w:p>
            <w:pPr>
              <w:pStyle w:val="2"/>
              <w:rPr>
                <w:rFonts w:hint="eastAsia"/>
              </w:rPr>
            </w:pPr>
            <w:r>
              <w:rPr>
                <w:rFonts w:hint="eastAsia"/>
              </w:rPr>
              <w:t>11)协助等保测评过程中材料收集、安全加固、差距分析、测评检查及问题整改等事项。</w:t>
            </w:r>
          </w:p>
          <w:p>
            <w:pPr>
              <w:pStyle w:val="2"/>
              <w:rPr>
                <w:rFonts w:hint="eastAsia"/>
              </w:rPr>
            </w:pPr>
            <w:r>
              <w:rPr>
                <w:rFonts w:hint="eastAsia"/>
              </w:rPr>
              <w:t>12)配合上级部门、安全机构进行信息安全检查，并根据检查报告进行问题跟进整改并予以反馈。</w:t>
            </w:r>
          </w:p>
          <w:p>
            <w:pPr>
              <w:pStyle w:val="2"/>
              <w:rPr>
                <w:rFonts w:hint="eastAsia"/>
              </w:rPr>
            </w:pPr>
            <w:r>
              <w:rPr>
                <w:rFonts w:hint="eastAsia"/>
              </w:rPr>
              <w:t>13)协助采购方搭建有效提升采购方运维效率的各类安全运维平台等系统，并定期协助完成对全院电脑终端系统安全漏洞补丁的推送及安装。</w:t>
            </w:r>
          </w:p>
          <w:p>
            <w:pPr>
              <w:pStyle w:val="2"/>
              <w:rPr>
                <w:rFonts w:hint="eastAsia"/>
              </w:rPr>
            </w:pPr>
            <w:r>
              <w:rPr>
                <w:rFonts w:hint="eastAsia"/>
              </w:rPr>
              <w:t>14)定期完成对安全设备系统、硬件的升级以及特征库、病毒库的更新。</w:t>
            </w:r>
          </w:p>
          <w:p>
            <w:pPr>
              <w:pStyle w:val="2"/>
              <w:rPr>
                <w:rFonts w:hint="eastAsia"/>
              </w:rPr>
            </w:pPr>
            <w:r>
              <w:rPr>
                <w:rFonts w:hint="eastAsia"/>
              </w:rPr>
              <w:t>15)定期完成对所有网络设备、安全设备的配置备份工作。</w:t>
            </w:r>
          </w:p>
          <w:p>
            <w:pPr>
              <w:pStyle w:val="2"/>
              <w:rPr>
                <w:rFonts w:hint="eastAsia"/>
              </w:rPr>
            </w:pPr>
            <w:r>
              <w:rPr>
                <w:rFonts w:hint="eastAsia"/>
              </w:rPr>
              <w:t>16)定期完成对防病毒软硬件使用情况的监测和筛查，对异常情况进行分析和处理。</w:t>
            </w:r>
          </w:p>
          <w:p>
            <w:pPr>
              <w:pStyle w:val="2"/>
              <w:rPr>
                <w:rFonts w:hint="eastAsia"/>
              </w:rPr>
            </w:pPr>
            <w:r>
              <w:rPr>
                <w:rFonts w:hint="eastAsia"/>
              </w:rPr>
              <w:t>17)定期对服务器、网络设备、安全设备的日志进行筛查、分析，针对异常事件进行跟踪、处理。</w:t>
            </w:r>
          </w:p>
          <w:p>
            <w:pPr>
              <w:pStyle w:val="2"/>
              <w:rPr>
                <w:rFonts w:hint="eastAsia"/>
              </w:rPr>
            </w:pPr>
            <w:r>
              <w:rPr>
                <w:rFonts w:hint="eastAsia"/>
              </w:rPr>
              <w:t>18)协助院方开展应急演练工作。</w:t>
            </w:r>
          </w:p>
          <w:p>
            <w:pPr>
              <w:pStyle w:val="2"/>
              <w:rPr>
                <w:rFonts w:hint="eastAsia"/>
              </w:rPr>
            </w:pPr>
            <w:r>
              <w:rPr>
                <w:rFonts w:hint="eastAsia"/>
              </w:rPr>
              <w:t>19)协助组织采购方相关人员进行信息安全培训。</w:t>
            </w:r>
          </w:p>
        </w:tc>
        <w:tc>
          <w:tcPr>
            <w:tcW w:w="257" w:type="pct"/>
            <w:tcMar>
              <w:top w:w="10" w:type="dxa"/>
              <w:left w:w="10" w:type="dxa"/>
              <w:right w:w="10" w:type="dxa"/>
            </w:tcMar>
          </w:tcPr>
          <w:p>
            <w:pPr>
              <w:widowControl/>
              <w:jc w:val="center"/>
              <w:rPr>
                <w:rFonts w:ascii="宋体" w:hAnsi="宋体"/>
                <w:kern w:val="0"/>
              </w:rPr>
            </w:pPr>
            <w:r>
              <w:rPr>
                <w:rFonts w:hint="eastAsia"/>
              </w:rPr>
              <w:t>1</w:t>
            </w:r>
          </w:p>
        </w:tc>
        <w:tc>
          <w:tcPr>
            <w:tcW w:w="302" w:type="pct"/>
            <w:gridSpan w:val="2"/>
            <w:tcMar>
              <w:top w:w="10" w:type="dxa"/>
              <w:left w:w="10" w:type="dxa"/>
              <w:right w:w="10" w:type="dxa"/>
            </w:tcMar>
          </w:tcPr>
          <w:p>
            <w:pPr>
              <w:widowControl/>
              <w:jc w:val="center"/>
              <w:rPr>
                <w:rFonts w:ascii="宋体" w:hAnsi="宋体"/>
                <w:kern w:val="0"/>
              </w:rPr>
            </w:pPr>
            <w:r>
              <w:rPr>
                <w:rFonts w:hint="eastAsia"/>
              </w:rPr>
              <w:t>年</w:t>
            </w:r>
          </w:p>
        </w:tc>
        <w:tc>
          <w:tcPr>
            <w:tcW w:w="986" w:type="pct"/>
            <w:tcMar>
              <w:top w:w="10" w:type="dxa"/>
              <w:left w:w="10" w:type="dxa"/>
              <w:right w:w="10" w:type="dxa"/>
            </w:tcMar>
          </w:tcPr>
          <w:p>
            <w:pPr>
              <w:widowControl/>
              <w:jc w:val="center"/>
              <w:textAlignment w:val="center"/>
              <w:rPr>
                <w:rFonts w:ascii="宋体" w:hAnsi="宋体"/>
                <w:kern w:val="0"/>
                <w:lang w:bidi="ar"/>
              </w:rPr>
            </w:pPr>
            <w:r>
              <w:rPr>
                <w:rFonts w:hint="eastAsia"/>
              </w:rPr>
              <w:t>《驻点周报》、《驻点月报》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77171"/>
    <w:multiLevelType w:val="multilevel"/>
    <w:tmpl w:val="2C377171"/>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795180"/>
    <w:multiLevelType w:val="multilevel"/>
    <w:tmpl w:val="347951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B043F1"/>
    <w:multiLevelType w:val="multilevel"/>
    <w:tmpl w:val="69B043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4YjU2MzY1YmM1YjExN2YxMzk3MzY4OGRlNjA5ZDIifQ=="/>
  </w:docVars>
  <w:rsids>
    <w:rsidRoot w:val="008E39D4"/>
    <w:rsid w:val="00055DFD"/>
    <w:rsid w:val="00070B60"/>
    <w:rsid w:val="00115CF9"/>
    <w:rsid w:val="0016143F"/>
    <w:rsid w:val="0017394B"/>
    <w:rsid w:val="0032011D"/>
    <w:rsid w:val="003B4521"/>
    <w:rsid w:val="003B5DA4"/>
    <w:rsid w:val="004F5BF0"/>
    <w:rsid w:val="004F6108"/>
    <w:rsid w:val="0052554F"/>
    <w:rsid w:val="006A4DF6"/>
    <w:rsid w:val="00743BF6"/>
    <w:rsid w:val="008B3CBB"/>
    <w:rsid w:val="008E39D4"/>
    <w:rsid w:val="00911581"/>
    <w:rsid w:val="00914EC8"/>
    <w:rsid w:val="00A528BC"/>
    <w:rsid w:val="00BC30FE"/>
    <w:rsid w:val="00C2304B"/>
    <w:rsid w:val="00E7797B"/>
    <w:rsid w:val="00EC0155"/>
    <w:rsid w:val="00EF565C"/>
    <w:rsid w:val="00FB6437"/>
    <w:rsid w:val="220421B5"/>
    <w:rsid w:val="4511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4"/>
    <w:qFormat/>
    <w:uiPriority w:val="0"/>
    <w:pPr>
      <w:keepNext/>
      <w:keepLines/>
      <w:spacing w:before="260" w:after="260" w:line="416" w:lineRule="auto"/>
      <w:outlineLvl w:val="1"/>
    </w:pPr>
    <w:rPr>
      <w:rFonts w:ascii="等线 Light" w:hAnsi="等线 Light"/>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4">
    <w:name w:val="annotation text"/>
    <w:basedOn w:val="1"/>
    <w:link w:val="18"/>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2 字符"/>
    <w:basedOn w:val="10"/>
    <w:link w:val="3"/>
    <w:qFormat/>
    <w:uiPriority w:val="0"/>
    <w:rPr>
      <w:rFonts w:ascii="等线 Light" w:hAnsi="等线 Light" w:eastAsia="宋体" w:cs="Times New Roman"/>
      <w:b/>
      <w:bCs/>
      <w:sz w:val="32"/>
      <w:szCs w:val="32"/>
    </w:rPr>
  </w:style>
  <w:style w:type="character" w:customStyle="1" w:styleId="15">
    <w:name w:val="正文文本 字符"/>
    <w:basedOn w:val="10"/>
    <w:link w:val="2"/>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18">
    <w:name w:val="批注文字 字符"/>
    <w:basedOn w:val="10"/>
    <w:link w:val="4"/>
    <w:semiHidden/>
    <w:uiPriority w:val="99"/>
    <w:rPr>
      <w:rFonts w:ascii="Times New Roman" w:hAnsi="Times New Roman" w:eastAsia="宋体" w:cs="Times New Roman"/>
      <w:szCs w:val="24"/>
    </w:rPr>
  </w:style>
  <w:style w:type="character" w:customStyle="1" w:styleId="19">
    <w:name w:val="批注主题 字符"/>
    <w:basedOn w:val="18"/>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12</Pages>
  <Words>5162</Words>
  <Characters>5460</Characters>
  <Lines>41</Lines>
  <Paragraphs>11</Paragraphs>
  <TotalTime>2</TotalTime>
  <ScaleCrop>false</ScaleCrop>
  <LinksUpToDate>false</LinksUpToDate>
  <CharactersWithSpaces>5465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2022-10-21T02:22:00Z</dcterms:created>
  <dc:creator>chen wuchen</dc:creator>
  <cp:lastModifiedBy>edu</cp:lastModifiedBy>
  <dcterms:modified xsi:type="dcterms:W3CDTF">2022-11-09T03:24:03Z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67C61D7B5AB64FDABB3F5BFC097823F9</vt:lpwstr>
  </property>
</Properties>
</file>