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附件</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jc w:val="center"/>
        <w:textAlignment w:val="auto"/>
        <w:rPr>
          <w:rFonts w:hint="eastAsia" w:ascii="宋体" w:hAnsi="宋体" w:cs="宋体"/>
          <w:b/>
          <w:bCs/>
          <w:sz w:val="44"/>
          <w:szCs w:val="44"/>
          <w:lang w:val="en-US" w:eastAsia="zh-CN"/>
        </w:rPr>
      </w:pPr>
      <w:r>
        <w:rPr>
          <w:rFonts w:hint="eastAsia" w:ascii="宋体" w:hAnsi="宋体" w:eastAsia="宋体" w:cs="宋体"/>
          <w:b/>
          <w:bCs/>
          <w:sz w:val="44"/>
          <w:szCs w:val="44"/>
        </w:rPr>
        <w:t>厦门市</w:t>
      </w:r>
      <w:r>
        <w:rPr>
          <w:rFonts w:hint="eastAsia" w:ascii="宋体" w:hAnsi="宋体" w:cs="宋体"/>
          <w:b/>
          <w:bCs/>
          <w:sz w:val="44"/>
          <w:szCs w:val="44"/>
          <w:lang w:val="en-US" w:eastAsia="zh-CN"/>
        </w:rPr>
        <w:t>海沧</w:t>
      </w:r>
      <w:r>
        <w:rPr>
          <w:rFonts w:hint="eastAsia" w:ascii="宋体" w:hAnsi="宋体" w:eastAsia="宋体" w:cs="宋体"/>
          <w:b/>
          <w:bCs/>
          <w:sz w:val="44"/>
          <w:szCs w:val="44"/>
        </w:rPr>
        <w:t>医院医疗责任险</w:t>
      </w:r>
      <w:r>
        <w:rPr>
          <w:rFonts w:hint="eastAsia" w:ascii="宋体" w:hAnsi="宋体" w:cs="宋体"/>
          <w:b/>
          <w:bCs/>
          <w:sz w:val="44"/>
          <w:szCs w:val="44"/>
          <w:lang w:eastAsia="zh-CN"/>
        </w:rPr>
        <w:t>项目说明</w:t>
      </w:r>
    </w:p>
    <w:p>
      <w:pPr>
        <w:pStyle w:val="2"/>
        <w:rPr>
          <w:rFonts w:hint="default"/>
          <w:lang w:val="en-US" w:eastAsia="zh-CN"/>
        </w:rPr>
      </w:pPr>
      <w:r>
        <w:rPr>
          <w:rFonts w:hint="eastAsia" w:ascii="宋体" w:hAnsi="宋体" w:cs="宋体"/>
          <w:b/>
          <w:bCs/>
          <w:sz w:val="32"/>
          <w:szCs w:val="32"/>
          <w:lang w:val="en-US" w:eastAsia="zh-CN"/>
        </w:rPr>
        <w:t>一、保险要求：</w:t>
      </w:r>
    </w:p>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b/>
          <w:sz w:val="24"/>
          <w:szCs w:val="24"/>
        </w:rPr>
      </w:pPr>
      <w:bookmarkStart w:id="0" w:name="_Toc454381560"/>
      <w:bookmarkStart w:id="1" w:name="_Toc454391781"/>
      <w:r>
        <w:rPr>
          <w:rFonts w:hint="eastAsia" w:ascii="宋体" w:hAnsi="宋体" w:eastAsia="宋体" w:cs="宋体"/>
          <w:b/>
          <w:sz w:val="24"/>
          <w:szCs w:val="24"/>
        </w:rPr>
        <w:t>保险责任：</w:t>
      </w:r>
      <w:bookmarkEnd w:id="0"/>
      <w:bookmarkEnd w:id="1"/>
      <w:bookmarkStart w:id="8" w:name="_GoBack"/>
      <w:bookmarkEnd w:id="8"/>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医疗责任险：</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在保险单明细表中列明的保险期限及承保区域范围内，甲方投保的医务人员在诊疗护理活动中，因执业过失造成患者人身损害，在保险期限或索赔时效内，由患者或其近亲属首次向甲方提出索赔申请，依法应由甲方承担民事赔偿责任时，乙方根据保险合同的约定负责赔偿。</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附加医疗意外责任：</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在保险单明细表中列明的保险期限及承保区域范围内，甲方的投保医务人员在诊疗护理活动中，因下列情形造成患者人身损害，在本保险期限或索赔时效内，由患者或其近亲属首次向甲方提出索赔申请，依法应由甲方承担民事赔偿责任时，乙方根据保险合同的约定责任赔偿：</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在诊疗护理过程中由于病情或患者体质特殊而发生的难以预料或在预料之中但难以防范的不良后果；</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按照正常的技术规范操作，仍然发生难以避免的并发症或者治疗意外；</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应用现有医学科学技术，仍然发生无法预料或难以防范的不良后果；</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在危急情况下为抢救危重患者生命而采取的紧急措施所造成的不良后果。</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附加医疗机构场所责任：</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在本保险单明细表中列明的保险期限及被保险人的医疗机构内，由于下列原因导致第三者（含患者）的人身伤害或财产损失，依法应由被保险人承担民事赔偿责任时，保险人根据本保险合同的约定负责赔偿。</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医疗机构的公共设施存在缺陷；</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被保险人或其雇员对医疗机构内的公共设施管理不善或操作、维护不当；</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保险人或其雇员的过失导致的火灾或爆炸；</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被保险人或其雇员的过失导致被保险人提供的食品引发食物中毒或其他食源性疾患。</w:t>
      </w:r>
    </w:p>
    <w:p>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附加医务人员遭受伤害保险责任：</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在本保险单明细表中列明的保险期限及承保区域范围内，被保险人的投保医务人员在从事与其资格相符的诊疗护理活动中，因产生医患纠纷而遭受到患方的伤害，造成其人身伤害或财产损失，依法应由被保险人承担民事赔偿责任时，保险人根据本保险合同的约定负责赔偿。</w:t>
      </w:r>
    </w:p>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sz w:val="24"/>
          <w:szCs w:val="24"/>
        </w:rPr>
      </w:pPr>
      <w:r>
        <w:rPr>
          <w:rFonts w:hint="eastAsia" w:ascii="宋体" w:hAnsi="宋体" w:eastAsia="宋体" w:cs="宋体"/>
          <w:b/>
          <w:sz w:val="24"/>
          <w:szCs w:val="24"/>
        </w:rPr>
        <w:t>保险期限：</w:t>
      </w:r>
      <w:r>
        <w:rPr>
          <w:rFonts w:hint="eastAsia" w:ascii="宋体" w:hAnsi="宋体" w:eastAsia="宋体" w:cs="宋体"/>
          <w:sz w:val="24"/>
          <w:szCs w:val="24"/>
          <w:lang w:val="en-US" w:eastAsia="zh-CN"/>
        </w:rPr>
        <w:t>一年，2023年1月30日零时起至2024年1月29日二十四时止</w:t>
      </w:r>
    </w:p>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sz w:val="24"/>
          <w:szCs w:val="24"/>
          <w:lang w:val="en-US" w:eastAsia="zh-CN"/>
        </w:rPr>
      </w:pPr>
      <w:bookmarkStart w:id="2" w:name="_Toc454381562"/>
      <w:bookmarkStart w:id="3" w:name="_Toc454391783"/>
      <w:r>
        <w:rPr>
          <w:rFonts w:hint="eastAsia" w:ascii="宋体" w:hAnsi="宋体" w:eastAsia="宋体" w:cs="宋体"/>
          <w:b/>
          <w:bCs/>
          <w:sz w:val="24"/>
          <w:szCs w:val="24"/>
        </w:rPr>
        <w:t>索赔方式：</w:t>
      </w:r>
      <w:r>
        <w:rPr>
          <w:rFonts w:hint="eastAsia" w:ascii="宋体" w:hAnsi="宋体" w:eastAsia="宋体" w:cs="宋体"/>
          <w:sz w:val="24"/>
          <w:szCs w:val="24"/>
          <w:lang w:val="en-US" w:eastAsia="zh-CN"/>
        </w:rPr>
        <w:t>事故发生制</w:t>
      </w:r>
      <w:bookmarkEnd w:id="2"/>
      <w:bookmarkEnd w:id="3"/>
      <w:r>
        <w:rPr>
          <w:rFonts w:hint="eastAsia" w:ascii="宋体" w:hAnsi="宋体" w:eastAsia="宋体" w:cs="宋体"/>
          <w:sz w:val="24"/>
          <w:szCs w:val="24"/>
          <w:lang w:val="en-US" w:eastAsia="zh-CN"/>
        </w:rPr>
        <w:t>（索赔时效3年，索赔时效至202</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年1月29日二十四时止）。</w:t>
      </w:r>
    </w:p>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赔偿限额：</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rPr>
      </w:pPr>
      <w:bookmarkStart w:id="4" w:name="_Toc454391786"/>
      <w:bookmarkStart w:id="5" w:name="_Toc454381565"/>
      <w:r>
        <w:rPr>
          <w:rFonts w:hint="eastAsia" w:ascii="宋体" w:hAnsi="宋体" w:eastAsia="宋体" w:cs="宋体"/>
          <w:sz w:val="24"/>
          <w:szCs w:val="24"/>
          <w:lang w:val="en-US" w:eastAsia="zh-CN"/>
        </w:rPr>
        <w:t>保单</w:t>
      </w:r>
      <w:r>
        <w:rPr>
          <w:rFonts w:hint="eastAsia" w:ascii="宋体" w:hAnsi="宋体" w:eastAsia="宋体" w:cs="宋体"/>
          <w:sz w:val="24"/>
          <w:szCs w:val="24"/>
        </w:rPr>
        <w:t>累计赔偿限额</w:t>
      </w:r>
      <w:bookmarkEnd w:id="4"/>
      <w:bookmarkEnd w:id="5"/>
      <w:bookmarkStart w:id="6" w:name="_Toc454391787"/>
      <w:bookmarkStart w:id="7" w:name="_Toc454381566"/>
      <w:r>
        <w:rPr>
          <w:rFonts w:hint="eastAsia" w:ascii="宋体" w:hAnsi="宋体" w:eastAsia="宋体" w:cs="宋体"/>
          <w:sz w:val="24"/>
          <w:szCs w:val="24"/>
        </w:rPr>
        <w:t>不低于</w:t>
      </w:r>
      <w:r>
        <w:rPr>
          <w:rFonts w:hint="eastAsia" w:ascii="宋体" w:hAnsi="宋体" w:cs="宋体"/>
          <w:sz w:val="24"/>
          <w:szCs w:val="24"/>
          <w:lang w:val="en-US" w:eastAsia="zh-CN"/>
        </w:rPr>
        <w:t>12</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rPr>
        <w:t>其中，</w:t>
      </w:r>
    </w:p>
    <w:p>
      <w:pPr>
        <w:keepNext w:val="0"/>
        <w:keepLines w:val="0"/>
        <w:pageBreakBefore w:val="0"/>
        <w:numPr>
          <w:ilvl w:val="0"/>
          <w:numId w:val="5"/>
        </w:numPr>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医疗责任累计赔偿限额不低于</w:t>
      </w:r>
      <w:r>
        <w:rPr>
          <w:rFonts w:hint="eastAsia" w:ascii="宋体" w:hAnsi="宋体" w:cs="宋体"/>
          <w:sz w:val="24"/>
          <w:szCs w:val="24"/>
          <w:lang w:val="en-US" w:eastAsia="zh-CN"/>
        </w:rPr>
        <w:t>5</w:t>
      </w:r>
      <w:r>
        <w:rPr>
          <w:rFonts w:hint="eastAsia" w:ascii="宋体" w:hAnsi="宋体" w:eastAsia="宋体" w:cs="宋体"/>
          <w:sz w:val="24"/>
          <w:szCs w:val="24"/>
        </w:rPr>
        <w:t>万元，每人每次事故</w:t>
      </w:r>
      <w:r>
        <w:rPr>
          <w:rFonts w:hint="eastAsia" w:ascii="宋体" w:hAnsi="宋体" w:cs="宋体"/>
          <w:sz w:val="24"/>
          <w:szCs w:val="24"/>
          <w:lang w:val="en-US" w:eastAsia="zh-CN"/>
        </w:rPr>
        <w:t>赔偿</w:t>
      </w:r>
      <w:r>
        <w:rPr>
          <w:rFonts w:hint="eastAsia" w:ascii="宋体" w:hAnsi="宋体" w:eastAsia="宋体" w:cs="宋体"/>
          <w:sz w:val="24"/>
          <w:szCs w:val="24"/>
        </w:rPr>
        <w:t>限额不低于</w:t>
      </w:r>
      <w:r>
        <w:rPr>
          <w:rFonts w:hint="eastAsia" w:ascii="宋体" w:hAnsi="宋体" w:cs="宋体"/>
          <w:sz w:val="24"/>
          <w:szCs w:val="24"/>
          <w:lang w:val="en-US" w:eastAsia="zh-CN"/>
        </w:rPr>
        <w:t>5</w:t>
      </w:r>
      <w:r>
        <w:rPr>
          <w:rFonts w:hint="eastAsia" w:ascii="宋体" w:hAnsi="宋体" w:eastAsia="宋体" w:cs="宋体"/>
          <w:sz w:val="24"/>
          <w:szCs w:val="24"/>
        </w:rPr>
        <w:t>万元；</w:t>
      </w:r>
    </w:p>
    <w:p>
      <w:pPr>
        <w:keepNext w:val="0"/>
        <w:keepLines w:val="0"/>
        <w:pageBreakBefore w:val="0"/>
        <w:numPr>
          <w:ilvl w:val="0"/>
          <w:numId w:val="5"/>
        </w:numPr>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医疗意外与医疗责任共用赔偿限额，每人每次事故</w:t>
      </w:r>
      <w:r>
        <w:rPr>
          <w:rFonts w:hint="eastAsia" w:ascii="宋体" w:hAnsi="宋体" w:cs="宋体"/>
          <w:sz w:val="24"/>
          <w:szCs w:val="24"/>
          <w:lang w:val="en-US" w:eastAsia="zh-CN"/>
        </w:rPr>
        <w:t>赔偿</w:t>
      </w:r>
      <w:r>
        <w:rPr>
          <w:rFonts w:hint="eastAsia" w:ascii="宋体" w:hAnsi="宋体" w:eastAsia="宋体" w:cs="宋体"/>
          <w:sz w:val="24"/>
          <w:szCs w:val="24"/>
        </w:rPr>
        <w:t>限额不低于</w:t>
      </w:r>
      <w:r>
        <w:rPr>
          <w:rFonts w:hint="eastAsia" w:ascii="宋体" w:hAnsi="宋体" w:cs="宋体"/>
          <w:sz w:val="24"/>
          <w:szCs w:val="24"/>
          <w:lang w:val="en-US" w:eastAsia="zh-CN"/>
        </w:rPr>
        <w:t>5</w:t>
      </w:r>
      <w:r>
        <w:rPr>
          <w:rFonts w:hint="eastAsia" w:ascii="宋体" w:hAnsi="宋体" w:eastAsia="宋体" w:cs="宋体"/>
          <w:sz w:val="24"/>
          <w:szCs w:val="24"/>
        </w:rPr>
        <w:t>万元；</w:t>
      </w:r>
    </w:p>
    <w:p>
      <w:pPr>
        <w:keepNext w:val="0"/>
        <w:keepLines w:val="0"/>
        <w:pageBreakBefore w:val="0"/>
        <w:numPr>
          <w:ilvl w:val="0"/>
          <w:numId w:val="5"/>
        </w:numPr>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医疗机构场所责任累计赔偿限额不低于</w:t>
      </w:r>
      <w:r>
        <w:rPr>
          <w:rFonts w:hint="eastAsia" w:ascii="宋体" w:hAnsi="宋体" w:cs="宋体"/>
          <w:sz w:val="24"/>
          <w:szCs w:val="24"/>
          <w:lang w:val="en-US" w:eastAsia="zh-CN"/>
        </w:rPr>
        <w:t>3.5</w:t>
      </w:r>
      <w:r>
        <w:rPr>
          <w:rFonts w:hint="eastAsia" w:ascii="宋体" w:hAnsi="宋体" w:eastAsia="宋体" w:cs="宋体"/>
          <w:sz w:val="24"/>
          <w:szCs w:val="24"/>
          <w:lang w:val="en-US" w:eastAsia="zh-CN"/>
        </w:rPr>
        <w:t>万，</w:t>
      </w:r>
      <w:r>
        <w:rPr>
          <w:rFonts w:hint="eastAsia" w:ascii="宋体" w:hAnsi="宋体" w:eastAsia="宋体" w:cs="宋体"/>
          <w:sz w:val="24"/>
          <w:szCs w:val="24"/>
        </w:rPr>
        <w:t>每人每次事故</w:t>
      </w:r>
      <w:r>
        <w:rPr>
          <w:rFonts w:hint="eastAsia" w:ascii="宋体" w:hAnsi="宋体" w:cs="宋体"/>
          <w:sz w:val="24"/>
          <w:szCs w:val="24"/>
          <w:lang w:val="en-US" w:eastAsia="zh-CN"/>
        </w:rPr>
        <w:t>赔偿</w:t>
      </w:r>
      <w:r>
        <w:rPr>
          <w:rFonts w:hint="eastAsia" w:ascii="宋体" w:hAnsi="宋体" w:eastAsia="宋体" w:cs="宋体"/>
          <w:sz w:val="24"/>
          <w:szCs w:val="24"/>
        </w:rPr>
        <w:t>限额不低于</w:t>
      </w:r>
      <w:r>
        <w:rPr>
          <w:rFonts w:hint="eastAsia" w:ascii="宋体" w:hAnsi="宋体" w:eastAsia="宋体" w:cs="宋体"/>
          <w:sz w:val="24"/>
          <w:szCs w:val="24"/>
          <w:lang w:val="en-US" w:eastAsia="zh-CN"/>
        </w:rPr>
        <w:t>0.5</w:t>
      </w:r>
      <w:r>
        <w:rPr>
          <w:rFonts w:hint="eastAsia" w:ascii="宋体" w:hAnsi="宋体" w:eastAsia="宋体" w:cs="宋体"/>
          <w:sz w:val="24"/>
          <w:szCs w:val="24"/>
        </w:rPr>
        <w:t>万元；</w:t>
      </w:r>
    </w:p>
    <w:p>
      <w:pPr>
        <w:keepNext w:val="0"/>
        <w:keepLines w:val="0"/>
        <w:pageBreakBefore w:val="0"/>
        <w:numPr>
          <w:ilvl w:val="0"/>
          <w:numId w:val="5"/>
        </w:numPr>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医务人员意外累计赔偿限额不低于</w:t>
      </w:r>
      <w:r>
        <w:rPr>
          <w:rFonts w:hint="eastAsia" w:ascii="宋体" w:hAnsi="宋体" w:cs="宋体"/>
          <w:sz w:val="24"/>
          <w:szCs w:val="24"/>
          <w:lang w:val="en-US" w:eastAsia="zh-CN"/>
        </w:rPr>
        <w:t>3.5</w:t>
      </w:r>
      <w:r>
        <w:rPr>
          <w:rFonts w:hint="eastAsia" w:ascii="宋体" w:hAnsi="宋体" w:eastAsia="宋体" w:cs="宋体"/>
          <w:sz w:val="24"/>
          <w:szCs w:val="24"/>
          <w:lang w:val="en-US" w:eastAsia="zh-CN"/>
        </w:rPr>
        <w:t>万，</w:t>
      </w:r>
      <w:r>
        <w:rPr>
          <w:rFonts w:hint="eastAsia" w:ascii="宋体" w:hAnsi="宋体" w:eastAsia="宋体" w:cs="宋体"/>
          <w:sz w:val="24"/>
          <w:szCs w:val="24"/>
        </w:rPr>
        <w:t>每人每次事故</w:t>
      </w:r>
      <w:r>
        <w:rPr>
          <w:rFonts w:hint="eastAsia" w:ascii="宋体" w:hAnsi="宋体" w:cs="宋体"/>
          <w:sz w:val="24"/>
          <w:szCs w:val="24"/>
          <w:lang w:val="en-US" w:eastAsia="zh-CN"/>
        </w:rPr>
        <w:t>赔偿</w:t>
      </w:r>
      <w:r>
        <w:rPr>
          <w:rFonts w:hint="eastAsia" w:ascii="宋体" w:hAnsi="宋体" w:eastAsia="宋体" w:cs="宋体"/>
          <w:sz w:val="24"/>
          <w:szCs w:val="24"/>
        </w:rPr>
        <w:t>限额不低于</w:t>
      </w:r>
      <w:r>
        <w:rPr>
          <w:rFonts w:hint="eastAsia" w:ascii="宋体" w:hAnsi="宋体" w:eastAsia="宋体" w:cs="宋体"/>
          <w:sz w:val="24"/>
          <w:szCs w:val="24"/>
          <w:lang w:val="en-US" w:eastAsia="zh-CN"/>
        </w:rPr>
        <w:t>0.5</w:t>
      </w:r>
      <w:r>
        <w:rPr>
          <w:rFonts w:hint="eastAsia" w:ascii="宋体" w:hAnsi="宋体" w:eastAsia="宋体" w:cs="宋体"/>
          <w:sz w:val="24"/>
          <w:szCs w:val="24"/>
        </w:rPr>
        <w:t>万元；</w:t>
      </w:r>
    </w:p>
    <w:bookmarkEnd w:id="6"/>
    <w:bookmarkEnd w:id="7"/>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★免赔金额：</w:t>
      </w:r>
      <w:r>
        <w:rPr>
          <w:rFonts w:hint="eastAsia" w:ascii="宋体" w:hAnsi="宋体" w:eastAsia="宋体" w:cs="宋体"/>
          <w:b w:val="0"/>
          <w:bCs/>
          <w:sz w:val="24"/>
          <w:szCs w:val="24"/>
          <w:lang w:val="en-US" w:eastAsia="zh-CN"/>
        </w:rPr>
        <w:t>无免赔</w:t>
      </w:r>
    </w:p>
    <w:p>
      <w:pPr>
        <w:keepNext w:val="0"/>
        <w:keepLines w:val="0"/>
        <w:pageBreakBefore w:val="0"/>
        <w:numPr>
          <w:ilvl w:val="0"/>
          <w:numId w:val="1"/>
        </w:numPr>
        <w:kinsoku/>
        <w:wordWrap/>
        <w:overflowPunct/>
        <w:topLinePunct w:val="0"/>
        <w:autoSpaceDE/>
        <w:autoSpaceDN/>
        <w:bidi w:val="0"/>
        <w:spacing w:beforeAutospacing="0" w:after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特别约定：</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530" w:firstLineChars="22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兹经双方协商约定，本保险单项下自保险生效之日起，增加下列特别约定：</w:t>
      </w:r>
    </w:p>
    <w:p>
      <w:pPr>
        <w:pStyle w:val="22"/>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被保险人一旦获悉可能引起本保险责任项下的索赔时，应立即以电话或书面形式通知保险人。</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按照</w:t>
      </w:r>
      <w:r>
        <w:rPr>
          <w:rFonts w:ascii="宋体" w:hAnsi="宋体" w:cs="宋体"/>
          <w:kern w:val="0"/>
          <w:sz w:val="24"/>
        </w:rPr>
        <w:t>《福建省医疗纠纷预防与处理办法》</w:t>
      </w:r>
      <w:r>
        <w:rPr>
          <w:rFonts w:hint="eastAsia" w:ascii="宋体" w:hAnsi="宋体" w:cs="宋体"/>
          <w:kern w:val="0"/>
          <w:sz w:val="24"/>
        </w:rPr>
        <w:t>，医疗纠纷发生后，患方索赔金额不超过2万元的医患双方可以自行协商解决，</w:t>
      </w:r>
      <w:r>
        <w:rPr>
          <w:rFonts w:ascii="宋体" w:hAnsi="宋体" w:cs="宋体"/>
          <w:kern w:val="0"/>
          <w:sz w:val="24"/>
        </w:rPr>
        <w:t>协商一致的，应当制作、签署书面和解协议。</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保险人对医疗机构索赔案件理赔的法律依据适用《</w:t>
      </w:r>
      <w:r>
        <w:rPr>
          <w:rFonts w:hint="eastAsia" w:ascii="宋体" w:hAnsi="宋体" w:cs="宋体"/>
          <w:kern w:val="0"/>
          <w:sz w:val="24"/>
          <w:lang w:val="en-US" w:eastAsia="zh-CN"/>
        </w:rPr>
        <w:t>民法典</w:t>
      </w:r>
      <w:r>
        <w:rPr>
          <w:rFonts w:hint="eastAsia" w:ascii="宋体" w:hAnsi="宋体" w:cs="宋体"/>
          <w:kern w:val="0"/>
          <w:sz w:val="24"/>
        </w:rPr>
        <w:t>》、《最高人民法院关于人身侵权损害赔偿的司法解释》或《医疗事故处理条例》，具体以判决、裁决、裁定或调解所适用的法律为准。对于判决、裁决、裁定或调解的金额，保险人按照保险条款的约定，扣除本保险单明细表中的约定自负比例或免赔额后，在本保险单约定的责任限额内赔偿。</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兹经双方同意，对于经过医调委调解、法院判决或调解的案件，保险人必须认可医调委及法院的调解或判决结果，保险人据此根据本保单约定进行赔偿。</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兹经双方同意，本保单保单基础为事故发生制索赔时效三年具体指事故发生在保险期间内，由患者向医院提出索赔的时间需在索赔时效截止日内，若保险事故协商、调解或判决过程中的等待时间超过本保单约定的索赔时效截止日，保险公司均认可该案件的存在并根据保单约定的责任和限额进行赔偿.</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兹经双方同意，针对医调委、法院的调解或判定结果未明确区分医疗责任和医疗意外的案件类型，被保险人应本着实事求是的原则合理客观的向保险公司作出事故原因说明，并提供与本事故相关的医疗证明材料，保险人与被保险人之间将本着公平、客观合理的原则对案件达成一致处理意见，保险人以此协商结果依据本保单约定责任和限额进行赔偿。</w:t>
      </w:r>
    </w:p>
    <w:p>
      <w:pPr>
        <w:pStyle w:val="22"/>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szCs w:val="20"/>
        </w:rPr>
      </w:pPr>
      <w:r>
        <w:rPr>
          <w:rFonts w:hint="eastAsia" w:ascii="宋体" w:hAnsi="宋体" w:cs="宋体"/>
          <w:kern w:val="0"/>
          <w:sz w:val="24"/>
          <w:szCs w:val="20"/>
        </w:rPr>
        <w:t>特别约定如与主条款内容相悖之处，以本特别约定为准；未尽之处，以本保险方案为准。</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司法管辖：中华人民共和国管辖（港澳台除外）</w:t>
      </w:r>
    </w:p>
    <w:p>
      <w:pPr>
        <w:keepNext w:val="0"/>
        <w:keepLines w:val="0"/>
        <w:pageBreakBefore w:val="0"/>
        <w:numPr>
          <w:ilvl w:val="0"/>
          <w:numId w:val="6"/>
        </w:numPr>
        <w:kinsoku/>
        <w:wordWrap/>
        <w:overflowPunct/>
        <w:topLinePunct w:val="0"/>
        <w:autoSpaceDE/>
        <w:autoSpaceDN/>
        <w:bidi w:val="0"/>
        <w:spacing w:beforeAutospacing="0" w:afterAutospacing="0" w:line="360" w:lineRule="auto"/>
        <w:ind w:left="0" w:leftChars="0" w:firstLine="0" w:firstLineChars="0"/>
        <w:textAlignment w:val="auto"/>
        <w:rPr>
          <w:rFonts w:ascii="宋体" w:hAnsi="宋体" w:cs="宋体"/>
          <w:kern w:val="0"/>
          <w:sz w:val="24"/>
        </w:rPr>
      </w:pPr>
      <w:r>
        <w:rPr>
          <w:rFonts w:hint="eastAsia" w:ascii="宋体" w:hAnsi="宋体" w:cs="宋体"/>
          <w:kern w:val="0"/>
          <w:sz w:val="24"/>
        </w:rPr>
        <w:t>争议处理办法：因履行本保险合同发生争议，由当事人协商解决，协商不成，依法向人民法院起诉。</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auto"/>
        <w:ind w:left="240" w:leftChars="0"/>
        <w:textAlignment w:val="auto"/>
        <w:rPr>
          <w:rFonts w:hint="eastAsia" w:ascii="宋体" w:hAnsi="宋体" w:eastAsia="宋体" w:cs="宋体"/>
          <w:b/>
          <w:bCs/>
          <w:sz w:val="24"/>
          <w:szCs w:val="24"/>
        </w:rPr>
      </w:pPr>
      <w:r>
        <w:rPr>
          <w:rFonts w:hint="eastAsia" w:ascii="宋体" w:hAnsi="宋体" w:cs="宋体"/>
          <w:b/>
          <w:bCs/>
          <w:sz w:val="24"/>
          <w:szCs w:val="24"/>
          <w:lang w:eastAsia="zh-CN"/>
        </w:rPr>
        <w:t>二、</w:t>
      </w:r>
      <w:r>
        <w:rPr>
          <w:rFonts w:hint="eastAsia" w:ascii="宋体" w:hAnsi="宋体" w:eastAsia="宋体" w:cs="宋体"/>
          <w:b/>
          <w:bCs/>
          <w:sz w:val="24"/>
          <w:szCs w:val="24"/>
        </w:rPr>
        <w:t>报价要求</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auto"/>
        <w:ind w:left="240" w:leftChars="0"/>
        <w:textAlignment w:val="auto"/>
        <w:rPr>
          <w:rFonts w:hint="eastAsia" w:ascii="宋体" w:hAnsi="宋体" w:eastAsia="宋体" w:cs="宋体"/>
          <w:sz w:val="24"/>
          <w:szCs w:val="24"/>
        </w:rPr>
      </w:pPr>
      <w:r>
        <w:rPr>
          <w:rFonts w:hint="eastAsia" w:ascii="宋体" w:hAnsi="宋体" w:eastAsia="宋体" w:cs="宋体"/>
          <w:sz w:val="24"/>
          <w:szCs w:val="24"/>
        </w:rPr>
        <w:t>报价应是包括全部项目的价格的总价，以人民币“元”作为货币单位。年保费总额不得超过</w:t>
      </w:r>
      <w:r>
        <w:rPr>
          <w:rFonts w:hint="eastAsia" w:ascii="宋体" w:hAnsi="宋体" w:cs="宋体"/>
          <w:sz w:val="24"/>
          <w:szCs w:val="24"/>
          <w:lang w:val="en-US" w:eastAsia="zh-CN"/>
        </w:rPr>
        <w:t>10</w:t>
      </w:r>
      <w:r>
        <w:rPr>
          <w:rFonts w:hint="eastAsia" w:ascii="宋体" w:hAnsi="宋体" w:eastAsia="宋体" w:cs="宋体"/>
          <w:sz w:val="24"/>
          <w:szCs w:val="24"/>
        </w:rPr>
        <w:t>万元（含）。</w:t>
      </w:r>
    </w:p>
    <w:p>
      <w:pPr>
        <w:keepNext w:val="0"/>
        <w:keepLines w:val="0"/>
        <w:pageBreakBefore w:val="0"/>
        <w:kinsoku/>
        <w:wordWrap/>
        <w:overflowPunct/>
        <w:topLinePunct w:val="0"/>
        <w:autoSpaceDE/>
        <w:autoSpaceDN/>
        <w:bidi w:val="0"/>
        <w:spacing w:beforeAutospacing="0" w:afterAutospacing="0" w:line="360" w:lineRule="auto"/>
        <w:ind w:left="0" w:leftChars="0" w:firstLine="1830"/>
        <w:jc w:val="right"/>
        <w:textAlignment w:val="auto"/>
        <w:rPr>
          <w:rFonts w:hint="eastAsia" w:ascii="宋体" w:hAnsi="宋体" w:eastAsia="宋体" w:cs="宋体"/>
          <w:sz w:val="24"/>
          <w:szCs w:val="24"/>
        </w:rPr>
      </w:pP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55BAC"/>
    <w:multiLevelType w:val="singleLevel"/>
    <w:tmpl w:val="D2155BAC"/>
    <w:lvl w:ilvl="0" w:tentative="0">
      <w:start w:val="1"/>
      <w:numFmt w:val="decimal"/>
      <w:lvlText w:val="(%1)"/>
      <w:lvlJc w:val="left"/>
      <w:pPr>
        <w:ind w:left="425" w:hanging="425"/>
      </w:pPr>
      <w:rPr>
        <w:rFonts w:hint="default"/>
      </w:rPr>
    </w:lvl>
  </w:abstractNum>
  <w:abstractNum w:abstractNumId="1">
    <w:nsid w:val="150C3FDB"/>
    <w:multiLevelType w:val="singleLevel"/>
    <w:tmpl w:val="150C3FDB"/>
    <w:lvl w:ilvl="0" w:tentative="0">
      <w:start w:val="1"/>
      <w:numFmt w:val="decimal"/>
      <w:suff w:val="nothing"/>
      <w:lvlText w:val="%1．"/>
      <w:lvlJc w:val="left"/>
      <w:pPr>
        <w:ind w:left="0" w:firstLine="400"/>
      </w:pPr>
      <w:rPr>
        <w:rFonts w:hint="default"/>
      </w:rPr>
    </w:lvl>
  </w:abstractNum>
  <w:abstractNum w:abstractNumId="2">
    <w:nsid w:val="236A5966"/>
    <w:multiLevelType w:val="singleLevel"/>
    <w:tmpl w:val="236A5966"/>
    <w:lvl w:ilvl="0" w:tentative="0">
      <w:start w:val="1"/>
      <w:numFmt w:val="decimal"/>
      <w:lvlText w:val="%1."/>
      <w:lvlJc w:val="left"/>
      <w:pPr>
        <w:ind w:left="425" w:hanging="425"/>
      </w:pPr>
      <w:rPr>
        <w:rFonts w:hint="default"/>
      </w:rPr>
    </w:lvl>
  </w:abstractNum>
  <w:abstractNum w:abstractNumId="3">
    <w:nsid w:val="2C83D641"/>
    <w:multiLevelType w:val="singleLevel"/>
    <w:tmpl w:val="2C83D641"/>
    <w:lvl w:ilvl="0" w:tentative="0">
      <w:start w:val="1"/>
      <w:numFmt w:val="decimal"/>
      <w:suff w:val="nothing"/>
      <w:lvlText w:val="%1．"/>
      <w:lvlJc w:val="left"/>
      <w:pPr>
        <w:ind w:left="0" w:firstLine="400"/>
      </w:pPr>
      <w:rPr>
        <w:rFonts w:hint="default"/>
      </w:rPr>
    </w:lvl>
  </w:abstractNum>
  <w:abstractNum w:abstractNumId="4">
    <w:nsid w:val="5760C00A"/>
    <w:multiLevelType w:val="singleLevel"/>
    <w:tmpl w:val="5760C00A"/>
    <w:lvl w:ilvl="0" w:tentative="0">
      <w:start w:val="1"/>
      <w:numFmt w:val="chineseCounting"/>
      <w:suff w:val="nothing"/>
      <w:lvlText w:val="（%1）"/>
      <w:lvlJc w:val="left"/>
    </w:lvl>
  </w:abstractNum>
  <w:abstractNum w:abstractNumId="5">
    <w:nsid w:val="5760C2DF"/>
    <w:multiLevelType w:val="singleLevel"/>
    <w:tmpl w:val="5760C2DF"/>
    <w:lvl w:ilvl="0" w:tentative="0">
      <w:start w:val="1"/>
      <w:numFmt w:val="decimal"/>
      <w:suff w:val="nothing"/>
      <w:lvlText w:val="（%1）"/>
      <w:lvlJc w:val="left"/>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Y4YjU2MzY1YmM1YjExN2YxMzk3MzY4OGRlNjA5ZDIifQ=="/>
  </w:docVars>
  <w:rsids>
    <w:rsidRoot w:val="004B50C6"/>
    <w:rsid w:val="00014523"/>
    <w:rsid w:val="00017A56"/>
    <w:rsid w:val="00035586"/>
    <w:rsid w:val="00057395"/>
    <w:rsid w:val="00064834"/>
    <w:rsid w:val="00064FDF"/>
    <w:rsid w:val="00073D53"/>
    <w:rsid w:val="00084BE6"/>
    <w:rsid w:val="000856E0"/>
    <w:rsid w:val="00092FA2"/>
    <w:rsid w:val="0009508A"/>
    <w:rsid w:val="000A0D45"/>
    <w:rsid w:val="000C0E16"/>
    <w:rsid w:val="000C2264"/>
    <w:rsid w:val="000C7B9E"/>
    <w:rsid w:val="000C7E8E"/>
    <w:rsid w:val="000D7309"/>
    <w:rsid w:val="000E2EF7"/>
    <w:rsid w:val="000E59D3"/>
    <w:rsid w:val="000E6BB7"/>
    <w:rsid w:val="000F40C0"/>
    <w:rsid w:val="000F5455"/>
    <w:rsid w:val="000F6878"/>
    <w:rsid w:val="00103126"/>
    <w:rsid w:val="00103178"/>
    <w:rsid w:val="00107079"/>
    <w:rsid w:val="00113D4A"/>
    <w:rsid w:val="001143F3"/>
    <w:rsid w:val="00117FAD"/>
    <w:rsid w:val="00127381"/>
    <w:rsid w:val="00151EC0"/>
    <w:rsid w:val="00152B3A"/>
    <w:rsid w:val="0016055B"/>
    <w:rsid w:val="001623B9"/>
    <w:rsid w:val="00166630"/>
    <w:rsid w:val="001714E4"/>
    <w:rsid w:val="00171B1A"/>
    <w:rsid w:val="00173880"/>
    <w:rsid w:val="001A2620"/>
    <w:rsid w:val="001B1891"/>
    <w:rsid w:val="001B403E"/>
    <w:rsid w:val="001C5C80"/>
    <w:rsid w:val="001D2832"/>
    <w:rsid w:val="001D487A"/>
    <w:rsid w:val="001D654F"/>
    <w:rsid w:val="001E1B8F"/>
    <w:rsid w:val="001E3FE7"/>
    <w:rsid w:val="001E69B9"/>
    <w:rsid w:val="001E70EB"/>
    <w:rsid w:val="00213E55"/>
    <w:rsid w:val="00230036"/>
    <w:rsid w:val="0026740D"/>
    <w:rsid w:val="00273AF7"/>
    <w:rsid w:val="0028161A"/>
    <w:rsid w:val="002A52EE"/>
    <w:rsid w:val="002A549D"/>
    <w:rsid w:val="002A744F"/>
    <w:rsid w:val="002C235A"/>
    <w:rsid w:val="002D5860"/>
    <w:rsid w:val="002D6A85"/>
    <w:rsid w:val="002E1DDB"/>
    <w:rsid w:val="002F01B4"/>
    <w:rsid w:val="002F04B6"/>
    <w:rsid w:val="003008C3"/>
    <w:rsid w:val="00302B38"/>
    <w:rsid w:val="00317DF5"/>
    <w:rsid w:val="00333D63"/>
    <w:rsid w:val="00340203"/>
    <w:rsid w:val="0034346E"/>
    <w:rsid w:val="00344811"/>
    <w:rsid w:val="003463AE"/>
    <w:rsid w:val="003663AC"/>
    <w:rsid w:val="00376892"/>
    <w:rsid w:val="00377967"/>
    <w:rsid w:val="00380619"/>
    <w:rsid w:val="0038178C"/>
    <w:rsid w:val="00384631"/>
    <w:rsid w:val="00390E07"/>
    <w:rsid w:val="003953B8"/>
    <w:rsid w:val="00396291"/>
    <w:rsid w:val="003B326E"/>
    <w:rsid w:val="003D359F"/>
    <w:rsid w:val="003E2492"/>
    <w:rsid w:val="003F2D96"/>
    <w:rsid w:val="003F3AE8"/>
    <w:rsid w:val="00402136"/>
    <w:rsid w:val="0041201A"/>
    <w:rsid w:val="00413D2D"/>
    <w:rsid w:val="004142C7"/>
    <w:rsid w:val="00421A07"/>
    <w:rsid w:val="00421A09"/>
    <w:rsid w:val="0043341A"/>
    <w:rsid w:val="00442830"/>
    <w:rsid w:val="004630B9"/>
    <w:rsid w:val="00464AFB"/>
    <w:rsid w:val="004714D6"/>
    <w:rsid w:val="00473739"/>
    <w:rsid w:val="004878D2"/>
    <w:rsid w:val="004929B7"/>
    <w:rsid w:val="00496794"/>
    <w:rsid w:val="004A5BE0"/>
    <w:rsid w:val="004B50C6"/>
    <w:rsid w:val="004B6091"/>
    <w:rsid w:val="004C0336"/>
    <w:rsid w:val="004D50CA"/>
    <w:rsid w:val="004E4E77"/>
    <w:rsid w:val="004E6485"/>
    <w:rsid w:val="004F3EE7"/>
    <w:rsid w:val="004F77D2"/>
    <w:rsid w:val="00507782"/>
    <w:rsid w:val="005125BB"/>
    <w:rsid w:val="00533393"/>
    <w:rsid w:val="00533C39"/>
    <w:rsid w:val="0053684B"/>
    <w:rsid w:val="00541CC6"/>
    <w:rsid w:val="005446E2"/>
    <w:rsid w:val="005621F9"/>
    <w:rsid w:val="00564F15"/>
    <w:rsid w:val="00565844"/>
    <w:rsid w:val="00567EA8"/>
    <w:rsid w:val="0057078D"/>
    <w:rsid w:val="0057476D"/>
    <w:rsid w:val="00597A42"/>
    <w:rsid w:val="005A2E83"/>
    <w:rsid w:val="005B0FB1"/>
    <w:rsid w:val="005B7984"/>
    <w:rsid w:val="005C297B"/>
    <w:rsid w:val="005C4BF6"/>
    <w:rsid w:val="005D5726"/>
    <w:rsid w:val="005D61B9"/>
    <w:rsid w:val="005D6F42"/>
    <w:rsid w:val="005F12C7"/>
    <w:rsid w:val="005F29CA"/>
    <w:rsid w:val="006004C0"/>
    <w:rsid w:val="00627A04"/>
    <w:rsid w:val="006529ED"/>
    <w:rsid w:val="00660196"/>
    <w:rsid w:val="00662A1E"/>
    <w:rsid w:val="006670D3"/>
    <w:rsid w:val="00674ADC"/>
    <w:rsid w:val="006813BF"/>
    <w:rsid w:val="006A3D59"/>
    <w:rsid w:val="006C09AC"/>
    <w:rsid w:val="006D1A49"/>
    <w:rsid w:val="006D2CD3"/>
    <w:rsid w:val="006D3EF1"/>
    <w:rsid w:val="006E336F"/>
    <w:rsid w:val="006F56A2"/>
    <w:rsid w:val="006F6FD5"/>
    <w:rsid w:val="00700BBA"/>
    <w:rsid w:val="00701715"/>
    <w:rsid w:val="00701EF2"/>
    <w:rsid w:val="00710862"/>
    <w:rsid w:val="00724F87"/>
    <w:rsid w:val="00727695"/>
    <w:rsid w:val="0073592C"/>
    <w:rsid w:val="0074131A"/>
    <w:rsid w:val="0075065A"/>
    <w:rsid w:val="0076176F"/>
    <w:rsid w:val="00761F29"/>
    <w:rsid w:val="00770316"/>
    <w:rsid w:val="007A4295"/>
    <w:rsid w:val="007B0EB5"/>
    <w:rsid w:val="007B2236"/>
    <w:rsid w:val="007C18D4"/>
    <w:rsid w:val="007F0B4E"/>
    <w:rsid w:val="007F188A"/>
    <w:rsid w:val="007F3E4F"/>
    <w:rsid w:val="007F7F1D"/>
    <w:rsid w:val="008145B7"/>
    <w:rsid w:val="00816E34"/>
    <w:rsid w:val="00817078"/>
    <w:rsid w:val="00817924"/>
    <w:rsid w:val="00833A75"/>
    <w:rsid w:val="00837EC4"/>
    <w:rsid w:val="00845B9C"/>
    <w:rsid w:val="008500E1"/>
    <w:rsid w:val="00851059"/>
    <w:rsid w:val="00856B3C"/>
    <w:rsid w:val="008634C2"/>
    <w:rsid w:val="00864B8A"/>
    <w:rsid w:val="00870868"/>
    <w:rsid w:val="00880DA6"/>
    <w:rsid w:val="008819B9"/>
    <w:rsid w:val="008B00E4"/>
    <w:rsid w:val="008C140D"/>
    <w:rsid w:val="008D2C33"/>
    <w:rsid w:val="008D34B0"/>
    <w:rsid w:val="008D5957"/>
    <w:rsid w:val="008F046C"/>
    <w:rsid w:val="008F7BCE"/>
    <w:rsid w:val="00902940"/>
    <w:rsid w:val="00916431"/>
    <w:rsid w:val="00917675"/>
    <w:rsid w:val="00920E1C"/>
    <w:rsid w:val="00931F65"/>
    <w:rsid w:val="00946290"/>
    <w:rsid w:val="00946782"/>
    <w:rsid w:val="00953AA6"/>
    <w:rsid w:val="009543E5"/>
    <w:rsid w:val="00964965"/>
    <w:rsid w:val="00964A0E"/>
    <w:rsid w:val="0097608F"/>
    <w:rsid w:val="009878FF"/>
    <w:rsid w:val="00994EA5"/>
    <w:rsid w:val="009A6B31"/>
    <w:rsid w:val="009C0C8A"/>
    <w:rsid w:val="009C1F04"/>
    <w:rsid w:val="009C3834"/>
    <w:rsid w:val="009C568B"/>
    <w:rsid w:val="009C5C3A"/>
    <w:rsid w:val="009F1E64"/>
    <w:rsid w:val="009F54CA"/>
    <w:rsid w:val="00A00E3D"/>
    <w:rsid w:val="00A0365D"/>
    <w:rsid w:val="00A12A3A"/>
    <w:rsid w:val="00A17579"/>
    <w:rsid w:val="00A241AE"/>
    <w:rsid w:val="00A265CD"/>
    <w:rsid w:val="00A31D32"/>
    <w:rsid w:val="00A45F6E"/>
    <w:rsid w:val="00A57507"/>
    <w:rsid w:val="00A65C54"/>
    <w:rsid w:val="00A71231"/>
    <w:rsid w:val="00A71AA9"/>
    <w:rsid w:val="00A7383B"/>
    <w:rsid w:val="00A85EBB"/>
    <w:rsid w:val="00A94950"/>
    <w:rsid w:val="00A96780"/>
    <w:rsid w:val="00AA6121"/>
    <w:rsid w:val="00AB6E64"/>
    <w:rsid w:val="00AC39B6"/>
    <w:rsid w:val="00AD7047"/>
    <w:rsid w:val="00AD7ED2"/>
    <w:rsid w:val="00B02D1F"/>
    <w:rsid w:val="00B404B0"/>
    <w:rsid w:val="00B40A55"/>
    <w:rsid w:val="00B43D0E"/>
    <w:rsid w:val="00B45563"/>
    <w:rsid w:val="00B54D38"/>
    <w:rsid w:val="00B572AA"/>
    <w:rsid w:val="00B63825"/>
    <w:rsid w:val="00B65F8C"/>
    <w:rsid w:val="00B713AD"/>
    <w:rsid w:val="00B71FD4"/>
    <w:rsid w:val="00B72D14"/>
    <w:rsid w:val="00B862DA"/>
    <w:rsid w:val="00BA2BA6"/>
    <w:rsid w:val="00BB67D0"/>
    <w:rsid w:val="00BC4351"/>
    <w:rsid w:val="00BE16F7"/>
    <w:rsid w:val="00BE183C"/>
    <w:rsid w:val="00BE25BA"/>
    <w:rsid w:val="00BE5114"/>
    <w:rsid w:val="00BE656F"/>
    <w:rsid w:val="00BE6AA6"/>
    <w:rsid w:val="00BE744A"/>
    <w:rsid w:val="00BF4A2E"/>
    <w:rsid w:val="00BF4F42"/>
    <w:rsid w:val="00C30FDC"/>
    <w:rsid w:val="00C31F0F"/>
    <w:rsid w:val="00C43597"/>
    <w:rsid w:val="00C5099A"/>
    <w:rsid w:val="00C65AC2"/>
    <w:rsid w:val="00C6742B"/>
    <w:rsid w:val="00C67CC1"/>
    <w:rsid w:val="00C7758B"/>
    <w:rsid w:val="00C8471E"/>
    <w:rsid w:val="00C85559"/>
    <w:rsid w:val="00C90574"/>
    <w:rsid w:val="00C96FDE"/>
    <w:rsid w:val="00CD53FA"/>
    <w:rsid w:val="00CE09D1"/>
    <w:rsid w:val="00CE7FDA"/>
    <w:rsid w:val="00D007E0"/>
    <w:rsid w:val="00D10340"/>
    <w:rsid w:val="00D20B4F"/>
    <w:rsid w:val="00D35A9B"/>
    <w:rsid w:val="00D544C8"/>
    <w:rsid w:val="00D575AE"/>
    <w:rsid w:val="00D65BCD"/>
    <w:rsid w:val="00D71401"/>
    <w:rsid w:val="00D82602"/>
    <w:rsid w:val="00D8393E"/>
    <w:rsid w:val="00D94D54"/>
    <w:rsid w:val="00DA36DB"/>
    <w:rsid w:val="00DA594F"/>
    <w:rsid w:val="00DB42FD"/>
    <w:rsid w:val="00DB4495"/>
    <w:rsid w:val="00DB734E"/>
    <w:rsid w:val="00DC2856"/>
    <w:rsid w:val="00DF060C"/>
    <w:rsid w:val="00DF41B1"/>
    <w:rsid w:val="00E05435"/>
    <w:rsid w:val="00E07097"/>
    <w:rsid w:val="00E12423"/>
    <w:rsid w:val="00E1287D"/>
    <w:rsid w:val="00E160DE"/>
    <w:rsid w:val="00E22F9D"/>
    <w:rsid w:val="00E37786"/>
    <w:rsid w:val="00E44972"/>
    <w:rsid w:val="00E47F83"/>
    <w:rsid w:val="00E54B1A"/>
    <w:rsid w:val="00E64E00"/>
    <w:rsid w:val="00EA3D8F"/>
    <w:rsid w:val="00EA6F29"/>
    <w:rsid w:val="00EB11C1"/>
    <w:rsid w:val="00EB6499"/>
    <w:rsid w:val="00EC1FC4"/>
    <w:rsid w:val="00EC22EF"/>
    <w:rsid w:val="00EC6474"/>
    <w:rsid w:val="00EE5534"/>
    <w:rsid w:val="00EF6641"/>
    <w:rsid w:val="00F008DB"/>
    <w:rsid w:val="00F00CE6"/>
    <w:rsid w:val="00F1224B"/>
    <w:rsid w:val="00F1349B"/>
    <w:rsid w:val="00F26BDE"/>
    <w:rsid w:val="00F35AE6"/>
    <w:rsid w:val="00F53426"/>
    <w:rsid w:val="00F549B6"/>
    <w:rsid w:val="00F64DE9"/>
    <w:rsid w:val="00F677C8"/>
    <w:rsid w:val="00F90729"/>
    <w:rsid w:val="00FA0B54"/>
    <w:rsid w:val="00FA498D"/>
    <w:rsid w:val="00FB441B"/>
    <w:rsid w:val="00FB5DE1"/>
    <w:rsid w:val="00FC2C76"/>
    <w:rsid w:val="00FC4B4F"/>
    <w:rsid w:val="00FF0853"/>
    <w:rsid w:val="0288480F"/>
    <w:rsid w:val="0FA13B65"/>
    <w:rsid w:val="340B594D"/>
    <w:rsid w:val="356763C5"/>
    <w:rsid w:val="3D705D46"/>
    <w:rsid w:val="44C440D8"/>
    <w:rsid w:val="48F70F32"/>
    <w:rsid w:val="4F846C1E"/>
    <w:rsid w:val="4F9D18F3"/>
    <w:rsid w:val="507D006A"/>
    <w:rsid w:val="579A0373"/>
    <w:rsid w:val="58D41A42"/>
    <w:rsid w:val="64006F47"/>
    <w:rsid w:val="70E56E71"/>
    <w:rsid w:val="73C0641B"/>
    <w:rsid w:val="7E7800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2"/>
    <w:basedOn w:val="1"/>
    <w:next w:val="1"/>
    <w:link w:val="16"/>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17"/>
    <w:qFormat/>
    <w:uiPriority w:val="99"/>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0" w:firstLineChars="0"/>
    </w:pPr>
    <w:rPr>
      <w:rFonts w:ascii="Times New Roman" w:hAnsi="Times New Roman" w:eastAsia="宋体"/>
    </w:rPr>
  </w:style>
  <w:style w:type="paragraph" w:styleId="3">
    <w:name w:val="Body Text"/>
    <w:basedOn w:val="1"/>
    <w:qFormat/>
    <w:uiPriority w:val="0"/>
    <w:pPr>
      <w:spacing w:after="120"/>
    </w:pPr>
    <w:rPr>
      <w:kern w:val="0"/>
      <w:sz w:val="24"/>
    </w:rPr>
  </w:style>
  <w:style w:type="paragraph" w:styleId="6">
    <w:name w:val="Date"/>
    <w:basedOn w:val="1"/>
    <w:next w:val="1"/>
    <w:link w:val="21"/>
    <w:qFormat/>
    <w:uiPriority w:val="99"/>
    <w:pPr>
      <w:ind w:left="100" w:leftChars="2500"/>
    </w:pPr>
  </w:style>
  <w:style w:type="paragraph" w:styleId="7">
    <w:name w:val="Balloon Text"/>
    <w:basedOn w:val="1"/>
    <w:link w:val="20"/>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locked/>
    <w:uiPriority w:val="0"/>
    <w:rPr>
      <w:b/>
    </w:rPr>
  </w:style>
  <w:style w:type="character" w:styleId="15">
    <w:name w:val="page number"/>
    <w:basedOn w:val="13"/>
    <w:qFormat/>
    <w:uiPriority w:val="99"/>
  </w:style>
  <w:style w:type="character" w:customStyle="1" w:styleId="16">
    <w:name w:val="标题 2 Char"/>
    <w:basedOn w:val="13"/>
    <w:link w:val="4"/>
    <w:qFormat/>
    <w:locked/>
    <w:uiPriority w:val="99"/>
    <w:rPr>
      <w:rFonts w:ascii="Arial" w:hAnsi="Arial" w:eastAsia="黑体" w:cs="Arial"/>
      <w:b/>
      <w:bCs/>
      <w:sz w:val="32"/>
      <w:szCs w:val="32"/>
    </w:rPr>
  </w:style>
  <w:style w:type="character" w:customStyle="1" w:styleId="17">
    <w:name w:val="标题 3 Char"/>
    <w:basedOn w:val="13"/>
    <w:link w:val="5"/>
    <w:qFormat/>
    <w:locked/>
    <w:uiPriority w:val="99"/>
    <w:rPr>
      <w:rFonts w:ascii="Times New Roman" w:hAnsi="Times New Roman" w:eastAsia="宋体" w:cs="Times New Roman"/>
      <w:b/>
      <w:bCs/>
      <w:sz w:val="32"/>
      <w:szCs w:val="32"/>
    </w:rPr>
  </w:style>
  <w:style w:type="character" w:customStyle="1" w:styleId="18">
    <w:name w:val="页脚 Char"/>
    <w:basedOn w:val="13"/>
    <w:link w:val="8"/>
    <w:qFormat/>
    <w:locked/>
    <w:uiPriority w:val="99"/>
    <w:rPr>
      <w:rFonts w:ascii="Times New Roman" w:hAnsi="Times New Roman" w:cs="Times New Roman"/>
      <w:sz w:val="18"/>
      <w:szCs w:val="18"/>
    </w:rPr>
  </w:style>
  <w:style w:type="character" w:customStyle="1" w:styleId="19">
    <w:name w:val="页眉 Char"/>
    <w:basedOn w:val="13"/>
    <w:link w:val="9"/>
    <w:semiHidden/>
    <w:qFormat/>
    <w:locked/>
    <w:uiPriority w:val="99"/>
    <w:rPr>
      <w:rFonts w:ascii="Times New Roman" w:hAnsi="Times New Roman" w:cs="Times New Roman"/>
      <w:sz w:val="18"/>
      <w:szCs w:val="18"/>
    </w:rPr>
  </w:style>
  <w:style w:type="character" w:customStyle="1" w:styleId="20">
    <w:name w:val="批注框文本 Char"/>
    <w:basedOn w:val="13"/>
    <w:link w:val="7"/>
    <w:semiHidden/>
    <w:qFormat/>
    <w:locked/>
    <w:uiPriority w:val="99"/>
    <w:rPr>
      <w:rFonts w:ascii="Times New Roman" w:hAnsi="Times New Roman" w:cs="Times New Roman"/>
      <w:sz w:val="2"/>
      <w:szCs w:val="2"/>
    </w:rPr>
  </w:style>
  <w:style w:type="character" w:customStyle="1" w:styleId="21">
    <w:name w:val="日期 Char"/>
    <w:basedOn w:val="13"/>
    <w:link w:val="6"/>
    <w:semiHidden/>
    <w:qFormat/>
    <w:locked/>
    <w:uiPriority w:val="99"/>
    <w:rPr>
      <w:rFonts w:ascii="Times New Roman" w:hAnsi="Times New Roman" w:cs="Times New Roman"/>
      <w:sz w:val="24"/>
      <w:szCs w:val="24"/>
    </w:rPr>
  </w:style>
  <w:style w:type="paragraph" w:styleId="22">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1813</Words>
  <Characters>1835</Characters>
  <Lines>8</Lines>
  <Paragraphs>2</Paragraphs>
  <TotalTime>8</TotalTime>
  <ScaleCrop>false</ScaleCrop>
  <LinksUpToDate>false</LinksUpToDate>
  <CharactersWithSpaces>1835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2017-03-21T01:58:00Z</dcterms:created>
  <dc:creator>admin</dc:creator>
  <cp:lastModifiedBy>edu</cp:lastModifiedBy>
  <cp:lastPrinted>2016-12-30T06:52:00Z</cp:lastPrinted>
  <dcterms:modified xsi:type="dcterms:W3CDTF">2023-01-12T03:08:35Z</dcterms:modified>
  <dc:title>厦 门 市 第 二 医 院</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7E67A642065F4B77BEB5EC6799F6521B</vt:lpwstr>
  </property>
</Properties>
</file>