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before="0" w:after="0" w:line="240" w:lineRule="auto"/>
        <w:jc w:val="left"/>
        <w:outlineLvl w:val="9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bookmarkStart w:id="0" w:name="_Toc101771371"/>
      <w:bookmarkStart w:id="1" w:name="_Toc101951257"/>
      <w:bookmarkStart w:id="2" w:name="_Toc403491565"/>
      <w:bookmarkStart w:id="3" w:name="_Toc175644388"/>
      <w:bookmarkStart w:id="4" w:name="_Toc101843124"/>
      <w:bookmarkStart w:id="5" w:name="_Toc101775124"/>
      <w:bookmarkStart w:id="6" w:name="_Toc401575143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附件-</w:t>
      </w:r>
    </w:p>
    <w:p>
      <w:pPr>
        <w:pStyle w:val="20"/>
        <w:spacing w:before="0" w:after="0" w:line="240" w:lineRule="auto"/>
        <w:jc w:val="center"/>
        <w:outlineLvl w:val="9"/>
        <w:rPr>
          <w:rFonts w:asciiTheme="minorEastAsia" w:hAnsiTheme="minorEastAsia" w:eastAsia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  <w:t>厦门市海沧医院医疗费用智能审核系统建设</w:t>
      </w:r>
      <w:r>
        <w:rPr>
          <w:rFonts w:asciiTheme="minorEastAsia" w:hAnsiTheme="minorEastAsia" w:eastAsiaTheme="minorEastAsia"/>
          <w:sz w:val="44"/>
          <w:szCs w:val="44"/>
          <w:lang w:val="en-US" w:eastAsia="zh-CN"/>
        </w:rPr>
        <w:t>需求</w:t>
      </w:r>
      <w:r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  <w:t>说明</w:t>
      </w:r>
    </w:p>
    <w:p>
      <w:pPr>
        <w:pStyle w:val="21"/>
        <w:rPr>
          <w:lang w:eastAsia="zh-CN"/>
        </w:rPr>
      </w:pPr>
    </w:p>
    <w:p>
      <w:pPr>
        <w:pStyle w:val="22"/>
        <w:numPr>
          <w:ilvl w:val="0"/>
          <w:numId w:val="1"/>
        </w:numPr>
        <w:ind w:left="0" w:firstLine="560" w:firstLineChars="200"/>
        <w:jc w:val="both"/>
        <w:outlineLvl w:val="9"/>
        <w:rPr>
          <w:rFonts w:cs="微软雅黑" w:asciiTheme="minorEastAsia" w:hAnsiTheme="minorEastAsia" w:eastAsiaTheme="minorEastAsia"/>
          <w:sz w:val="28"/>
          <w:szCs w:val="28"/>
          <w:lang w:eastAsia="zh-CN"/>
        </w:rPr>
      </w:pPr>
      <w:bookmarkStart w:id="7" w:name="二、建设目标"/>
      <w:bookmarkEnd w:id="7"/>
      <w:bookmarkStart w:id="8" w:name="一、项目背景"/>
      <w:bookmarkEnd w:id="8"/>
      <w:r>
        <w:rPr>
          <w:rFonts w:hint="eastAsia" w:cs="微软雅黑" w:asciiTheme="minorEastAsia" w:hAnsiTheme="minorEastAsia" w:eastAsiaTheme="minorEastAsia"/>
          <w:sz w:val="28"/>
          <w:szCs w:val="28"/>
          <w:lang w:eastAsia="zh-CN"/>
        </w:rPr>
        <w:t>建设目标</w:t>
      </w:r>
    </w:p>
    <w:p>
      <w:pPr>
        <w:pStyle w:val="21"/>
        <w:ind w:firstLine="560" w:firstLineChars="200"/>
        <w:jc w:val="both"/>
        <w:rPr>
          <w:rFonts w:cs="Times New Roman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通过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本项目的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建设，借助先进的信息化手段提高数据整合和处理能力，实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现医保费用的智能化审核，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加强对医疗费用及医疗服务行为的监管，进行医保事前、事中、事后的全流程管理，进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一步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规范诊疗行为，最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终实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现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医保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工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作的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精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细化管理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。</w:t>
      </w:r>
    </w:p>
    <w:p>
      <w:pPr>
        <w:pStyle w:val="21"/>
        <w:numPr>
          <w:ilvl w:val="0"/>
          <w:numId w:val="1"/>
        </w:numPr>
        <w:ind w:left="0" w:firstLine="560" w:firstLineChars="200"/>
        <w:jc w:val="both"/>
        <w:rPr>
          <w:rFonts w:cs="Times New Roman" w:asciiTheme="minorEastAsia" w:hAnsiTheme="minorEastAsia" w:eastAsiaTheme="minorEastAsia"/>
          <w:sz w:val="28"/>
          <w:szCs w:val="28"/>
          <w:lang w:eastAsia="zh-CN"/>
        </w:rPr>
      </w:pP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建设需求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清单</w:t>
      </w:r>
    </w:p>
    <w:p>
      <w:pPr>
        <w:pStyle w:val="24"/>
        <w:tabs>
          <w:tab w:val="left" w:pos="993"/>
        </w:tabs>
        <w:spacing w:line="360" w:lineRule="auto"/>
        <w:ind w:firstLine="560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（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一）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基本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需求</w:t>
      </w:r>
    </w:p>
    <w:p>
      <w:pPr>
        <w:pStyle w:val="24"/>
        <w:tabs>
          <w:tab w:val="left" w:pos="993"/>
        </w:tabs>
        <w:spacing w:line="360" w:lineRule="auto"/>
        <w:ind w:firstLine="56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系统建设应遵循以下国际标准、国家标准、行业和相关规定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及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规范：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支持TCP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/IP协议、HTTP、HTTPS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对数据库的访问支持ODBC，COM和JDBC；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支持XML、Web Service；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支持HL7、SNOMED、ASTM协议等国际信息交换标准；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支持DICOM标准；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支持UNICODE编码；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疾病诊断分类ICD-10支持国标版、国家临床版1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.1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、国家临床版2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.0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、医保版2.0；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手术/操作ICD-9支持北京临床版、国家临床版1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.1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、国家临床版2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.0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、国家临床版3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.0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等版本、医保版2.0；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中医码标准GBT15657-1995、中医病证分类与代码（修订版）；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支持病案首页国家2012版；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支持最新版CN-DRG分组方案；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支持国家医保局DIP分组方案及本地化；</w:t>
      </w:r>
    </w:p>
    <w:p>
      <w:pPr>
        <w:pStyle w:val="24"/>
        <w:widowControl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jc w:val="left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支持厦门市医保局DIP分组方案；</w:t>
      </w:r>
    </w:p>
    <w:p>
      <w:pPr>
        <w:pStyle w:val="24"/>
        <w:widowControl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jc w:val="left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FF0000"/>
          <w:kern w:val="0"/>
          <w:sz w:val="28"/>
          <w:szCs w:val="28"/>
          <w:lang w:eastAsia="zh-CN"/>
        </w:rPr>
        <w:t>满足国家医保、省市医保审核知识库规则；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要求产品能够满足国家电子病历六级、互联互通五乙、智慧服务四级、等保三级的相关要求。</w:t>
      </w:r>
    </w:p>
    <w:p>
      <w:pPr>
        <w:pStyle w:val="24"/>
        <w:numPr>
          <w:ilvl w:val="0"/>
          <w:numId w:val="2"/>
        </w:numPr>
        <w:tabs>
          <w:tab w:val="left" w:pos="993"/>
        </w:tabs>
        <w:spacing w:line="360" w:lineRule="auto"/>
        <w:ind w:firstLine="200" w:firstLineChars="0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验收时须出具第三方代码审计报告。</w:t>
      </w:r>
    </w:p>
    <w:p>
      <w:pPr>
        <w:pStyle w:val="21"/>
        <w:ind w:firstLine="560" w:firstLineChars="200"/>
        <w:jc w:val="both"/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cs="Times New Roman" w:asciiTheme="minorEastAsia" w:hAnsiTheme="minorEastAsia" w:eastAsiaTheme="minorEastAsia"/>
          <w:sz w:val="28"/>
          <w:szCs w:val="28"/>
          <w:lang w:eastAsia="zh-CN"/>
        </w:rPr>
        <w:t>二）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功能需求</w:t>
      </w:r>
    </w:p>
    <w:tbl>
      <w:tblPr>
        <w:tblStyle w:val="15"/>
        <w:tblW w:w="87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08"/>
        <w:gridCol w:w="1644"/>
        <w:gridCol w:w="5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8"/>
                <w:szCs w:val="28"/>
                <w:lang w:bidi="ar"/>
              </w:rPr>
              <w:t>系统</w:t>
            </w:r>
          </w:p>
        </w:tc>
        <w:tc>
          <w:tcPr>
            <w:tcW w:w="1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8"/>
                <w:szCs w:val="28"/>
                <w:lang w:bidi="ar"/>
              </w:rPr>
              <w:t>功能模块</w:t>
            </w:r>
          </w:p>
        </w:tc>
        <w:tc>
          <w:tcPr>
            <w:tcW w:w="5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8"/>
                <w:szCs w:val="28"/>
                <w:lang w:bidi="ar"/>
              </w:rPr>
              <w:t>功能说明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智能审核系统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药品审核</w:t>
            </w:r>
          </w:p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知识库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1、限定适应症用药、限定性别用药、限定门诊用药、限定住院用药、限定待遇类型支付、限定医院等级用药、限定年龄用药、不予支付饮片限制、单味不予支付饮片限制、全为单味不予支付饮片限制、限单独用药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2、出院带药限制、限定二线用药、限定诊疗用药、限定频繁开药等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  <w:lang w:bidi="ar"/>
              </w:rPr>
              <w:t>违反诊疗规范分解处方</w:t>
            </w:r>
            <w:r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  <w:lang w:eastAsia="zh-CN" w:bidi="ar"/>
              </w:rPr>
              <w:t>、超量开药，中医辨证论治需开具中药处方，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疾病审核</w:t>
            </w:r>
          </w:p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知识库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1、限定生育支付疾病、限定医保支付疾病、诊断不合理（性别）、诊断不合理（年龄）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2、限定疾病用药范围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医保审核</w:t>
            </w:r>
          </w:p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知识库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3、重复入院、低标住院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诊疗审核</w:t>
            </w:r>
          </w:p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知识库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4、重复收费、限年龄使用、限性别使用、限待遇类型支付、限定门诊使用、限定住院使用、限单独使用、限定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特殊疾病使用、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限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定工伤使用、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超限定频次（住院天数）、超限定频次（按日收费）、超限定频次（按小时收费）、超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限数量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  <w:lang w:eastAsia="zh-CN" w:bidi="ar"/>
              </w:rPr>
              <w:t>超限价金额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5、</w:t>
            </w:r>
            <w:r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  <w:lang w:eastAsia="zh-CN" w:bidi="ar"/>
              </w:rPr>
              <w:t>打包收费、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分解收费、</w:t>
            </w:r>
            <w:r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  <w:lang w:eastAsia="zh-CN" w:bidi="ar"/>
              </w:rPr>
              <w:t>过度检查、除外耗材收费、不合理收费、超标准收费、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医保不予支付诊疗项目限制等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规则</w:t>
            </w:r>
          </w:p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设计器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1、使用人员可通过简单操作，修改或添加规则，每条规则可修改详细配置，包括限制条件，使用场景、提示内容等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/>
                <w:sz w:val="28"/>
                <w:szCs w:val="28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2、支持自定义规则配置与管理，实现对规则新增、查询、删除、修改、复制、批量新增的操作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3、支持自定义配置规则启用、停用状态及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范围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可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根据提示、预警、禁止等级别，对违规操作进行限制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4、规则配置可自行调整且可实时生效或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指定生效时间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实时智能</w:t>
            </w:r>
          </w:p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审核监控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1、系统对接医生、护士工作站，对违规情况实时提示、分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级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预警及拦截，提示违规说明、修改建议、规则依据等内容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2、支持门诊医生工作站处方实时审核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3、支持入院场景疑似重复入院审核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4、支持住院医生工作站医嘱实时审核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5、支持智能识别即将出院的患者，自动审查患者费用清单与医嘱清单，</w:t>
            </w:r>
            <w:r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  <w:lang w:eastAsia="zh-CN" w:bidi="ar"/>
              </w:rPr>
              <w:t>判断出院时是否降护理级别，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并将违规收费审核结果实时同步到对应的处理人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6、支持每天或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定时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审核在院患者的违规情况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7、系统针对违规弹窗拦截时，支持违规人员填写违规反馈原因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8、提供医保办监控功能，对临床违规情况进行统一监控，查看违规记录及对应医嘱或处方明细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事后违规</w:t>
            </w:r>
          </w:p>
          <w:p>
            <w:pPr>
              <w:widowControl/>
              <w:ind w:firstLine="560" w:firstLineChars="200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审核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1、系统每天自动审核前一天的费用违规数据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2、支持在院患者的T+1天的全费用审查，以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满足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医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保办及相关部门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监管需要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3、支持查看门诊、出院患者违规数据列表，可查看费用明细并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分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4、支持使用人员按批次导入数据，在系统内进行统一审核查看违规情况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全院违规</w:t>
            </w:r>
          </w:p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监控首页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1、审核、提醒、拦截总量、拦截率，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并可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根据工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作需要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按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类别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导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入导出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2、支持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根据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违规类型、违规项目等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指标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3、按照时间范围、科室等条件进行筛选查看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系统</w:t>
            </w:r>
          </w:p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管理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医保字典及</w:t>
            </w:r>
          </w:p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映射管理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1、系统提供映射功能，包括诊断编码映射、操作编码映射、药品目录映射、非药品目录映射等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2、支持字典查询与管理，包括诊断目录（医保2.0）、操作目录（医保2.0）、药品目录、非药品目录等，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并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根据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国家省市政策要求进行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增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减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或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者调整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基础数据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3、支持药品库、耗材库、医疗项目库、特殊病种库、疾病诊断库、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人力资源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库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等系统对接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，系统后台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每日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可定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时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自动更新药品、项目、耗材、诊断、病种、科室、医生等数据，与院内基础数据保持同步，无需人工进行维护</w:t>
            </w:r>
          </w:p>
          <w:p>
            <w:pPr>
              <w:jc w:val="left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4、支持基础数据的导入与管理功能，包括本地结算申报表、异地结算申报表、导入日志等；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支持历史快照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并可根据工作需要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选择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时间段及范围导入导出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系统管理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5、支持用户管理、角色管理、权限管理、菜单管理、消息通告、参数管理、机构管理、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申诉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管理等功能</w:t>
            </w:r>
          </w:p>
          <w:p>
            <w:pPr>
              <w:jc w:val="left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6、适配院内多维度规则校验模式，满足医院对不同规则定义的管理维护需求</w:t>
            </w:r>
          </w:p>
          <w:p>
            <w:pPr>
              <w:pStyle w:val="2"/>
              <w:spacing w:after="0"/>
              <w:jc w:val="left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7、工具化规则管理，支持一个入口即可实现多维度规则管理与配置，支持知识库一键智能匹配导入</w:t>
            </w:r>
          </w:p>
          <w:p>
            <w:pPr>
              <w:jc w:val="left"/>
              <w:rPr>
                <w:rFonts w:hint="eastAsia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8、具有可追溯性，支持数据挖掘及下钻，具备各种形式文档、图片等佐证材料的导入导出功能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系统日志</w:t>
            </w: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9、登录日志、操作日志、异常日志等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tabs>
          <w:tab w:val="left" w:pos="993"/>
        </w:tabs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</w:rPr>
      </w:pPr>
      <w:bookmarkStart w:id="9" w:name="五、系统功能需求"/>
      <w:bookmarkEnd w:id="9"/>
      <w:bookmarkStart w:id="10" w:name="_Hlk135920444"/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三、服务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要求</w:t>
      </w:r>
    </w:p>
    <w:p>
      <w:pPr>
        <w:pStyle w:val="2"/>
        <w:spacing w:after="0"/>
        <w:ind w:firstLine="560" w:firstLineChars="20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cs="Times New Roman" w:asciiTheme="minorEastAsia" w:hAnsiTheme="minorEastAsia"/>
          <w:kern w:val="0"/>
          <w:sz w:val="28"/>
          <w:szCs w:val="28"/>
        </w:rPr>
        <w:t>1.本项目为整体采购，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服务</w:t>
      </w:r>
      <w:r>
        <w:rPr>
          <w:rFonts w:cs="Times New Roman" w:asciiTheme="minorEastAsia" w:hAnsiTheme="minorEastAsia"/>
          <w:kern w:val="0"/>
          <w:sz w:val="28"/>
          <w:szCs w:val="28"/>
        </w:rPr>
        <w:t>商必须对采购项目的所有内容进行完整报价响应。</w:t>
      </w:r>
    </w:p>
    <w:p>
      <w:pPr>
        <w:pStyle w:val="2"/>
        <w:tabs>
          <w:tab w:val="left" w:pos="1843"/>
        </w:tabs>
        <w:spacing w:after="0"/>
        <w:ind w:firstLine="560" w:firstLineChars="20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cs="Times New Roman" w:asciiTheme="minorEastAsia" w:hAnsiTheme="minorEastAsia"/>
          <w:kern w:val="0"/>
          <w:sz w:val="28"/>
          <w:szCs w:val="28"/>
        </w:rPr>
        <w:t>2.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服务</w:t>
      </w:r>
      <w:r>
        <w:rPr>
          <w:rFonts w:cs="Times New Roman" w:asciiTheme="minorEastAsia" w:hAnsiTheme="minorEastAsia"/>
          <w:kern w:val="0"/>
          <w:sz w:val="28"/>
          <w:szCs w:val="28"/>
        </w:rPr>
        <w:t>总报价为履行本项目所有可能发生的费用，包括但不限于投标总价为完成本项目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建设</w:t>
      </w:r>
      <w:r>
        <w:rPr>
          <w:rFonts w:cs="Times New Roman" w:asciiTheme="minorEastAsia" w:hAnsiTheme="minorEastAsia"/>
          <w:kern w:val="0"/>
          <w:sz w:val="28"/>
          <w:szCs w:val="28"/>
        </w:rPr>
        <w:t>所包含的一切费用，包括但不限于人工费、加班费、通讯费、材料费、运费、差旅费、工具费、维保期技术支持及运行维护费用、巡检费用、演练费、培训费、维修消耗品、配件维修及更换费用、安装调试费、软件升级费用、验收费、保险费、风险费、管理费、行政规费和税费、招标服务费以及可能漏项漏报的一切费用，采购人无需再向中标人支付其他任何费用。</w:t>
      </w:r>
    </w:p>
    <w:p>
      <w:pPr>
        <w:pStyle w:val="2"/>
        <w:spacing w:after="0"/>
        <w:ind w:firstLine="560" w:firstLineChars="200"/>
        <w:rPr>
          <w:rFonts w:hint="eastAsia" w:cs="Times New Roman" w:asciiTheme="minorEastAsia" w:hAnsiTheme="minorEastAsia" w:eastAsiaTheme="minorEastAsia"/>
          <w:color w:val="FF0000"/>
          <w:kern w:val="0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3</w:t>
      </w:r>
      <w:r>
        <w:rPr>
          <w:rFonts w:cs="Times New Roman" w:asciiTheme="minorEastAsia" w:hAnsiTheme="minorEastAsia"/>
          <w:kern w:val="0"/>
          <w:sz w:val="28"/>
          <w:szCs w:val="28"/>
        </w:rPr>
        <w:t>.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服务商须提供详细具体的售后服务承诺条款，服务</w:t>
      </w:r>
      <w:r>
        <w:rPr>
          <w:rFonts w:cs="Times New Roman" w:asciiTheme="minorEastAsia" w:hAnsiTheme="minorEastAsia"/>
          <w:kern w:val="0"/>
          <w:sz w:val="28"/>
          <w:szCs w:val="28"/>
        </w:rPr>
        <w:t>期内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每</w:t>
      </w:r>
      <w:r>
        <w:rPr>
          <w:rFonts w:cs="Times New Roman" w:asciiTheme="minorEastAsia" w:hAnsiTheme="minorEastAsia"/>
          <w:kern w:val="0"/>
          <w:sz w:val="28"/>
          <w:szCs w:val="28"/>
        </w:rPr>
        <w:t>半年提供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书</w:t>
      </w:r>
      <w:r>
        <w:rPr>
          <w:rFonts w:cs="Times New Roman" w:asciiTheme="minorEastAsia" w:hAnsiTheme="minorEastAsia"/>
          <w:kern w:val="0"/>
          <w:sz w:val="28"/>
          <w:szCs w:val="28"/>
        </w:rPr>
        <w:t>面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工</w:t>
      </w:r>
      <w:r>
        <w:rPr>
          <w:rFonts w:cs="Times New Roman" w:asciiTheme="minorEastAsia" w:hAnsiTheme="minorEastAsia"/>
          <w:kern w:val="0"/>
          <w:sz w:val="28"/>
          <w:szCs w:val="28"/>
        </w:rPr>
        <w:t>作报告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，</w:t>
      </w:r>
      <w:r>
        <w:rPr>
          <w:rFonts w:cs="Times New Roman" w:asciiTheme="minorEastAsia" w:hAnsiTheme="minorEastAsia"/>
          <w:kern w:val="0"/>
          <w:sz w:val="28"/>
          <w:szCs w:val="28"/>
        </w:rPr>
        <w:t>报告内容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应</w:t>
      </w:r>
      <w:r>
        <w:rPr>
          <w:rFonts w:cs="Times New Roman" w:asciiTheme="minorEastAsia" w:hAnsiTheme="minorEastAsia"/>
          <w:kern w:val="0"/>
          <w:sz w:val="28"/>
          <w:szCs w:val="28"/>
        </w:rPr>
        <w:t>包括日常维护工作及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系统</w:t>
      </w:r>
      <w:r>
        <w:rPr>
          <w:rFonts w:cs="Times New Roman" w:asciiTheme="minorEastAsia" w:hAnsiTheme="minorEastAsia"/>
          <w:kern w:val="0"/>
          <w:sz w:val="28"/>
          <w:szCs w:val="28"/>
        </w:rPr>
        <w:t>改造升级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、</w:t>
      </w:r>
      <w:r>
        <w:rPr>
          <w:rFonts w:cs="Times New Roman" w:asciiTheme="minorEastAsia" w:hAnsiTheme="minorEastAsia"/>
          <w:kern w:val="0"/>
          <w:sz w:val="28"/>
          <w:szCs w:val="28"/>
        </w:rPr>
        <w:t>风险避免的建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议</w:t>
      </w:r>
      <w:r>
        <w:rPr>
          <w:rFonts w:cs="Times New Roman" w:asciiTheme="minorEastAsia" w:hAnsiTheme="minorEastAsia"/>
          <w:kern w:val="0"/>
          <w:sz w:val="28"/>
          <w:szCs w:val="28"/>
        </w:rPr>
        <w:t>或方案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。</w:t>
      </w:r>
      <w:r>
        <w:rPr>
          <w:rFonts w:hint="eastAsia" w:cs="Times New Roman" w:asciiTheme="minorEastAsia" w:hAnsiTheme="minorEastAsia"/>
          <w:color w:val="FF0000"/>
          <w:kern w:val="0"/>
          <w:sz w:val="28"/>
          <w:szCs w:val="28"/>
          <w:lang w:eastAsia="zh-CN"/>
        </w:rPr>
        <w:t>实施期间须有驻点人员在院办公</w:t>
      </w:r>
    </w:p>
    <w:p>
      <w:pPr>
        <w:pStyle w:val="2"/>
        <w:spacing w:after="0"/>
        <w:ind w:firstLine="560" w:firstLineChars="20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cs="Times New Roman" w:asciiTheme="minorEastAsia" w:hAnsiTheme="minorEastAsia"/>
          <w:kern w:val="0"/>
          <w:sz w:val="28"/>
          <w:szCs w:val="28"/>
        </w:rPr>
        <w:t>4.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服务商</w:t>
      </w:r>
      <w:r>
        <w:rPr>
          <w:rFonts w:cs="Times New Roman" w:asciiTheme="minorEastAsia" w:hAnsiTheme="minorEastAsia"/>
          <w:kern w:val="0"/>
          <w:sz w:val="28"/>
          <w:szCs w:val="28"/>
        </w:rPr>
        <w:t>须提供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7</w:t>
      </w:r>
      <w:r>
        <w:rPr>
          <w:rFonts w:cs="Times New Roman" w:asciiTheme="minorEastAsia" w:hAnsiTheme="minorEastAsia"/>
          <w:kern w:val="0"/>
          <w:sz w:val="28"/>
          <w:szCs w:val="28"/>
        </w:rPr>
        <w:t>*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24小</w:t>
      </w:r>
      <w:r>
        <w:rPr>
          <w:rFonts w:cs="Times New Roman" w:asciiTheme="minorEastAsia" w:hAnsiTheme="minorEastAsia"/>
          <w:kern w:val="0"/>
          <w:sz w:val="28"/>
          <w:szCs w:val="28"/>
        </w:rPr>
        <w:t>时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电</w:t>
      </w:r>
      <w:r>
        <w:rPr>
          <w:rFonts w:cs="Times New Roman" w:asciiTheme="minorEastAsia" w:hAnsiTheme="minorEastAsia"/>
          <w:kern w:val="0"/>
          <w:sz w:val="28"/>
          <w:szCs w:val="28"/>
        </w:rPr>
        <w:t>话、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远程</w:t>
      </w:r>
      <w:r>
        <w:rPr>
          <w:rFonts w:cs="Times New Roman" w:asciiTheme="minorEastAsia" w:hAnsiTheme="minorEastAsia"/>
          <w:kern w:val="0"/>
          <w:sz w:val="28"/>
          <w:szCs w:val="28"/>
        </w:rPr>
        <w:t>维护服务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；响应</w:t>
      </w:r>
      <w:r>
        <w:rPr>
          <w:rFonts w:cs="Times New Roman" w:asciiTheme="minorEastAsia" w:hAnsiTheme="minorEastAsia"/>
          <w:kern w:val="0"/>
          <w:sz w:val="28"/>
          <w:szCs w:val="28"/>
        </w:rPr>
        <w:t>时间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须</w:t>
      </w:r>
      <w:r>
        <w:rPr>
          <w:rFonts w:cs="Times New Roman" w:asciiTheme="minorEastAsia" w:hAnsiTheme="minorEastAsia"/>
          <w:kern w:val="0"/>
          <w:sz w:val="28"/>
          <w:szCs w:val="28"/>
        </w:rPr>
        <w:t>小于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30分钟；当</w:t>
      </w:r>
      <w:r>
        <w:rPr>
          <w:rFonts w:cs="Times New Roman" w:asciiTheme="minorEastAsia" w:hAnsiTheme="minorEastAsia"/>
          <w:kern w:val="0"/>
          <w:sz w:val="28"/>
          <w:szCs w:val="28"/>
        </w:rPr>
        <w:t>远程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维护</w:t>
      </w:r>
      <w:r>
        <w:rPr>
          <w:rFonts w:cs="Times New Roman" w:asciiTheme="minorEastAsia" w:hAnsiTheme="minorEastAsia"/>
          <w:kern w:val="0"/>
          <w:sz w:val="28"/>
          <w:szCs w:val="28"/>
        </w:rPr>
        <w:t>无法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确定</w:t>
      </w:r>
      <w:r>
        <w:rPr>
          <w:rFonts w:cs="Times New Roman" w:asciiTheme="minorEastAsia" w:hAnsiTheme="minorEastAsia"/>
          <w:kern w:val="0"/>
          <w:sz w:val="28"/>
          <w:szCs w:val="28"/>
        </w:rPr>
        <w:t>或解决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问题</w:t>
      </w:r>
      <w:r>
        <w:rPr>
          <w:rFonts w:cs="Times New Roman" w:asciiTheme="minorEastAsia" w:hAnsiTheme="minorEastAsia"/>
          <w:kern w:val="0"/>
          <w:sz w:val="28"/>
          <w:szCs w:val="28"/>
        </w:rPr>
        <w:t>时，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投标</w:t>
      </w:r>
      <w:r>
        <w:rPr>
          <w:rFonts w:cs="Times New Roman" w:asciiTheme="minorEastAsia" w:hAnsiTheme="minorEastAsia"/>
          <w:kern w:val="0"/>
          <w:sz w:val="28"/>
          <w:szCs w:val="28"/>
        </w:rPr>
        <w:t>人技术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人</w:t>
      </w:r>
      <w:r>
        <w:rPr>
          <w:rFonts w:cs="Times New Roman" w:asciiTheme="minorEastAsia" w:hAnsiTheme="minorEastAsia"/>
          <w:kern w:val="0"/>
          <w:sz w:val="28"/>
          <w:szCs w:val="28"/>
        </w:rPr>
        <w:t>员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须</w:t>
      </w:r>
      <w:r>
        <w:rPr>
          <w:rFonts w:cs="Times New Roman" w:asciiTheme="minorEastAsia" w:hAnsiTheme="minorEastAsia"/>
          <w:kern w:val="0"/>
          <w:sz w:val="28"/>
          <w:szCs w:val="28"/>
        </w:rPr>
        <w:t>在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半小</w:t>
      </w:r>
      <w:r>
        <w:rPr>
          <w:rFonts w:cs="Times New Roman" w:asciiTheme="minorEastAsia" w:hAnsiTheme="minorEastAsia"/>
          <w:kern w:val="0"/>
          <w:sz w:val="28"/>
          <w:szCs w:val="28"/>
        </w:rPr>
        <w:t>时内到院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进行</w:t>
      </w:r>
      <w:r>
        <w:rPr>
          <w:rFonts w:cs="Times New Roman" w:asciiTheme="minorEastAsia" w:hAnsiTheme="minorEastAsia"/>
          <w:kern w:val="0"/>
          <w:sz w:val="28"/>
          <w:szCs w:val="28"/>
        </w:rPr>
        <w:t>现场处理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。</w:t>
      </w:r>
    </w:p>
    <w:p>
      <w:pPr>
        <w:pStyle w:val="2"/>
        <w:spacing w:after="0"/>
        <w:ind w:firstLine="560" w:firstLineChars="20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5</w:t>
      </w:r>
      <w:r>
        <w:rPr>
          <w:rFonts w:cs="Times New Roman" w:asciiTheme="minorEastAsia" w:hAnsiTheme="minorEastAsia"/>
          <w:kern w:val="0"/>
          <w:sz w:val="28"/>
          <w:szCs w:val="28"/>
        </w:rPr>
        <w:t>.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投标</w:t>
      </w:r>
      <w:r>
        <w:rPr>
          <w:rFonts w:cs="Times New Roman" w:asciiTheme="minorEastAsia" w:hAnsiTheme="minorEastAsia"/>
          <w:kern w:val="0"/>
          <w:sz w:val="28"/>
          <w:szCs w:val="28"/>
        </w:rPr>
        <w:t>人须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免费为</w:t>
      </w:r>
      <w:r>
        <w:rPr>
          <w:rFonts w:cs="Times New Roman" w:asciiTheme="minorEastAsia" w:hAnsiTheme="minorEastAsia"/>
          <w:kern w:val="0"/>
          <w:sz w:val="28"/>
          <w:szCs w:val="28"/>
        </w:rPr>
        <w:t>医院培训操作人员，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使</w:t>
      </w:r>
      <w:r>
        <w:rPr>
          <w:rFonts w:cs="Times New Roman" w:asciiTheme="minorEastAsia" w:hAnsiTheme="minorEastAsia"/>
          <w:kern w:val="0"/>
          <w:sz w:val="28"/>
          <w:szCs w:val="28"/>
        </w:rPr>
        <w:t>操作人员能熟练操作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。</w:t>
      </w:r>
      <w:bookmarkStart w:id="11" w:name="_GoBack"/>
      <w:bookmarkEnd w:id="11"/>
    </w:p>
    <w:p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10"/>
    <w:p>
      <w:pPr>
        <w:pStyle w:val="25"/>
        <w:spacing w:line="240" w:lineRule="auto"/>
        <w:ind w:firstLine="560"/>
        <w:jc w:val="both"/>
        <w:rPr>
          <w:rFonts w:asciiTheme="minorEastAsia" w:hAnsiTheme="minorEastAsia" w:eastAsiaTheme="minorEastAsia"/>
          <w:sz w:val="28"/>
          <w:szCs w:val="28"/>
          <w:lang w:eastAsia="zh-Hans"/>
        </w:rPr>
      </w:pPr>
    </w:p>
    <w:sectPr>
      <w:footerReference r:id="rId3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9056488"/>
      <w:docPartObj>
        <w:docPartGallery w:val="autotext"/>
      </w:docPartObj>
    </w:sdtPr>
    <w:sdtContent>
      <w:p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64BE5"/>
    <w:multiLevelType w:val="multilevel"/>
    <w:tmpl w:val="0DA64BE5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4B751227"/>
    <w:multiLevelType w:val="multilevel"/>
    <w:tmpl w:val="4B75122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4YjU2MzY1YmM1YjExN2YxMzk3MzY4OGRlNjA5ZDIifQ=="/>
  </w:docVars>
  <w:rsids>
    <w:rsidRoot w:val="DFD9660F"/>
    <w:rsid w:val="000909DF"/>
    <w:rsid w:val="000A1F0E"/>
    <w:rsid w:val="000B723D"/>
    <w:rsid w:val="000C01E8"/>
    <w:rsid w:val="000C059E"/>
    <w:rsid w:val="000C74F6"/>
    <w:rsid w:val="00120A1B"/>
    <w:rsid w:val="00133B4A"/>
    <w:rsid w:val="00144D2F"/>
    <w:rsid w:val="00166DAC"/>
    <w:rsid w:val="001A37E7"/>
    <w:rsid w:val="001C5DAD"/>
    <w:rsid w:val="001F05DC"/>
    <w:rsid w:val="00276A91"/>
    <w:rsid w:val="00281214"/>
    <w:rsid w:val="002A3C68"/>
    <w:rsid w:val="002E16F0"/>
    <w:rsid w:val="002E7FF0"/>
    <w:rsid w:val="002F0304"/>
    <w:rsid w:val="0037382F"/>
    <w:rsid w:val="003919A8"/>
    <w:rsid w:val="003D20F3"/>
    <w:rsid w:val="003E7187"/>
    <w:rsid w:val="003F4A50"/>
    <w:rsid w:val="00407CAE"/>
    <w:rsid w:val="00441822"/>
    <w:rsid w:val="00460FE5"/>
    <w:rsid w:val="00494D87"/>
    <w:rsid w:val="004A43C8"/>
    <w:rsid w:val="004B731B"/>
    <w:rsid w:val="004E2B17"/>
    <w:rsid w:val="005216D9"/>
    <w:rsid w:val="005611E5"/>
    <w:rsid w:val="00595FCB"/>
    <w:rsid w:val="005B5041"/>
    <w:rsid w:val="005D13D9"/>
    <w:rsid w:val="005D3686"/>
    <w:rsid w:val="005F3D84"/>
    <w:rsid w:val="0060047C"/>
    <w:rsid w:val="00607F83"/>
    <w:rsid w:val="00610A20"/>
    <w:rsid w:val="00632FE1"/>
    <w:rsid w:val="0066714D"/>
    <w:rsid w:val="00691D91"/>
    <w:rsid w:val="006A5198"/>
    <w:rsid w:val="006B044F"/>
    <w:rsid w:val="006B4250"/>
    <w:rsid w:val="006B618A"/>
    <w:rsid w:val="006D5AFE"/>
    <w:rsid w:val="006E0F32"/>
    <w:rsid w:val="006E5074"/>
    <w:rsid w:val="006E78C2"/>
    <w:rsid w:val="006F64CD"/>
    <w:rsid w:val="00701D9E"/>
    <w:rsid w:val="0076103A"/>
    <w:rsid w:val="00796380"/>
    <w:rsid w:val="007A2A8F"/>
    <w:rsid w:val="007D5EA6"/>
    <w:rsid w:val="008261F5"/>
    <w:rsid w:val="0084647F"/>
    <w:rsid w:val="00863D4F"/>
    <w:rsid w:val="008752DC"/>
    <w:rsid w:val="008A0A98"/>
    <w:rsid w:val="008B2221"/>
    <w:rsid w:val="008B6998"/>
    <w:rsid w:val="008F1B94"/>
    <w:rsid w:val="008F5B9B"/>
    <w:rsid w:val="00901796"/>
    <w:rsid w:val="0093651D"/>
    <w:rsid w:val="00944977"/>
    <w:rsid w:val="009513A7"/>
    <w:rsid w:val="009710B6"/>
    <w:rsid w:val="009D51A1"/>
    <w:rsid w:val="009E437A"/>
    <w:rsid w:val="009F037F"/>
    <w:rsid w:val="00A2706C"/>
    <w:rsid w:val="00A430D7"/>
    <w:rsid w:val="00A541F7"/>
    <w:rsid w:val="00A71A57"/>
    <w:rsid w:val="00A73645"/>
    <w:rsid w:val="00AB5AD5"/>
    <w:rsid w:val="00AB67B4"/>
    <w:rsid w:val="00AD341C"/>
    <w:rsid w:val="00AE2350"/>
    <w:rsid w:val="00AF2E3F"/>
    <w:rsid w:val="00B5527E"/>
    <w:rsid w:val="00B71B22"/>
    <w:rsid w:val="00B73A58"/>
    <w:rsid w:val="00BC7A30"/>
    <w:rsid w:val="00BE3C32"/>
    <w:rsid w:val="00BF1FDD"/>
    <w:rsid w:val="00C16CDD"/>
    <w:rsid w:val="00C27FA7"/>
    <w:rsid w:val="00C85AEC"/>
    <w:rsid w:val="00CE6793"/>
    <w:rsid w:val="00D2347A"/>
    <w:rsid w:val="00D23B78"/>
    <w:rsid w:val="00D37562"/>
    <w:rsid w:val="00D54BDA"/>
    <w:rsid w:val="00D91236"/>
    <w:rsid w:val="00DB3072"/>
    <w:rsid w:val="00E23CA5"/>
    <w:rsid w:val="00E409A3"/>
    <w:rsid w:val="00EB7C62"/>
    <w:rsid w:val="00F31B4A"/>
    <w:rsid w:val="00F44B13"/>
    <w:rsid w:val="00F526CA"/>
    <w:rsid w:val="00F624D8"/>
    <w:rsid w:val="00FB79C5"/>
    <w:rsid w:val="00FF025E"/>
    <w:rsid w:val="00FF7DFD"/>
    <w:rsid w:val="0B4C599F"/>
    <w:rsid w:val="26D075AA"/>
    <w:rsid w:val="26E652AC"/>
    <w:rsid w:val="2FFDCEBE"/>
    <w:rsid w:val="32756ACF"/>
    <w:rsid w:val="3CFB23C0"/>
    <w:rsid w:val="425C5413"/>
    <w:rsid w:val="5CFE248E"/>
    <w:rsid w:val="702121DC"/>
    <w:rsid w:val="77BBBF9E"/>
    <w:rsid w:val="789D2847"/>
    <w:rsid w:val="7FDC1ED2"/>
    <w:rsid w:val="BD79134F"/>
    <w:rsid w:val="DFD9660F"/>
    <w:rsid w:val="F71FA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5"/>
    <w:link w:val="34"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</w:rPr>
  </w:style>
  <w:style w:type="paragraph" w:styleId="6">
    <w:name w:val="heading 4"/>
    <w:basedOn w:val="1"/>
    <w:next w:val="5"/>
    <w:link w:val="28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 w:cs="宋体"/>
      <w:color w:val="000000"/>
    </w:rPr>
  </w:style>
  <w:style w:type="paragraph" w:styleId="7">
    <w:name w:val="heading 5"/>
    <w:basedOn w:val="1"/>
    <w:next w:val="5"/>
    <w:qFormat/>
    <w:uiPriority w:val="0"/>
    <w:pPr>
      <w:keepNext/>
      <w:autoSpaceDE w:val="0"/>
      <w:autoSpaceDN w:val="0"/>
      <w:adjustRightInd w:val="0"/>
      <w:snapToGrid w:val="0"/>
      <w:spacing w:before="280" w:after="290" w:line="374" w:lineRule="auto"/>
      <w:outlineLvl w:val="4"/>
    </w:pPr>
    <w:rPr>
      <w:rFonts w:ascii="宋体" w:cs="宋体"/>
      <w:b/>
      <w:color w:val="000000"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9"/>
    <w:qFormat/>
    <w:uiPriority w:val="99"/>
    <w:pPr>
      <w:spacing w:after="120"/>
    </w:pPr>
    <w:rPr>
      <w:rFonts w:ascii="Tahoma" w:hAnsi="Tahoma" w:eastAsiaTheme="minorEastAsia" w:cstheme="minorBidi"/>
    </w:rPr>
  </w:style>
  <w:style w:type="paragraph" w:styleId="5">
    <w:name w:val="Normal Indent"/>
    <w:basedOn w:val="1"/>
    <w:qFormat/>
    <w:uiPriority w:val="0"/>
    <w:pPr>
      <w:ind w:firstLine="420"/>
    </w:pPr>
    <w:rPr>
      <w:rFonts w:asciiTheme="minorHAnsi" w:hAnsiTheme="minorHAnsi" w:cstheme="minorBidi"/>
    </w:rPr>
  </w:style>
  <w:style w:type="paragraph" w:styleId="8">
    <w:name w:val="annotation text"/>
    <w:basedOn w:val="1"/>
    <w:link w:val="33"/>
    <w:unhideWhenUsed/>
    <w:qFormat/>
    <w:uiPriority w:val="0"/>
    <w:pPr>
      <w:jc w:val="left"/>
    </w:p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HTML Preformatted"/>
    <w:basedOn w:val="1"/>
    <w:link w:val="3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8"/>
    <w:next w:val="8"/>
    <w:link w:val="36"/>
    <w:qFormat/>
    <w:uiPriority w:val="0"/>
    <w:rPr>
      <w:b/>
      <w:bCs/>
    </w:rPr>
  </w:style>
  <w:style w:type="table" w:styleId="16">
    <w:name w:val="Table Grid"/>
    <w:basedOn w:val="1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annotation reference"/>
    <w:qFormat/>
    <w:uiPriority w:val="0"/>
    <w:rPr>
      <w:rFonts w:ascii="Tahoma" w:hAnsi="Tahoma"/>
      <w:kern w:val="2"/>
      <w:sz w:val="21"/>
      <w:szCs w:val="21"/>
    </w:rPr>
  </w:style>
  <w:style w:type="paragraph" w:customStyle="1" w:styleId="20">
    <w:name w:val="标题 1_0"/>
    <w:basedOn w:val="21"/>
    <w:next w:val="2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等线" w:cs="Times New Roman"/>
      <w:b/>
      <w:bCs/>
      <w:kern w:val="44"/>
      <w:sz w:val="44"/>
      <w:szCs w:val="44"/>
      <w:lang w:val="zh-CN"/>
    </w:rPr>
  </w:style>
  <w:style w:type="paragraph" w:customStyle="1" w:styleId="21">
    <w:name w:val="正文_0_0_0"/>
    <w:qFormat/>
    <w:uiPriority w:val="0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val="en-US" w:eastAsia="en-US" w:bidi="ar-SA"/>
    </w:rPr>
  </w:style>
  <w:style w:type="paragraph" w:customStyle="1" w:styleId="22">
    <w:name w:val="标题 2_0"/>
    <w:basedOn w:val="21"/>
    <w:qFormat/>
    <w:uiPriority w:val="1"/>
    <w:pPr>
      <w:ind w:left="358"/>
      <w:outlineLvl w:val="1"/>
    </w:pPr>
    <w:rPr>
      <w:rFonts w:ascii="Calibri" w:hAnsi="Calibri" w:eastAsia="等线" w:cs="Times New Roman"/>
      <w:sz w:val="28"/>
      <w:szCs w:val="28"/>
      <w:lang w:val="zh-CN"/>
    </w:rPr>
  </w:style>
  <w:style w:type="paragraph" w:customStyle="1" w:styleId="23">
    <w:name w:val="标题 3_0"/>
    <w:basedOn w:val="21"/>
    <w:next w:val="2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等线" w:cs="Times New Roman"/>
      <w:b/>
      <w:bCs/>
      <w:sz w:val="32"/>
      <w:szCs w:val="32"/>
      <w:lang w:val="zh-CN"/>
    </w:rPr>
  </w:style>
  <w:style w:type="paragraph" w:styleId="24">
    <w:name w:val="List Paragraph"/>
    <w:basedOn w:val="1"/>
    <w:link w:val="35"/>
    <w:qFormat/>
    <w:uiPriority w:val="34"/>
    <w:pPr>
      <w:ind w:firstLine="420" w:firstLineChars="200"/>
    </w:pPr>
  </w:style>
  <w:style w:type="paragraph" w:customStyle="1" w:styleId="25">
    <w:name w:val="__正文"/>
    <w:link w:val="30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customStyle="1" w:styleId="26">
    <w:name w:val="页眉 字符"/>
    <w:basedOn w:val="17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页脚 字符"/>
    <w:basedOn w:val="17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8">
    <w:name w:val="标题 4 字符"/>
    <w:basedOn w:val="17"/>
    <w:link w:val="6"/>
    <w:qFormat/>
    <w:uiPriority w:val="0"/>
    <w:rPr>
      <w:rFonts w:ascii="宋体" w:hAnsi="Arial" w:eastAsia="宋体" w:cs="宋体"/>
      <w:color w:val="000000"/>
      <w:kern w:val="2"/>
      <w:sz w:val="21"/>
      <w:szCs w:val="22"/>
    </w:rPr>
  </w:style>
  <w:style w:type="character" w:customStyle="1" w:styleId="29">
    <w:name w:val="正文文本 字符"/>
    <w:link w:val="2"/>
    <w:qFormat/>
    <w:uiPriority w:val="99"/>
    <w:rPr>
      <w:rFonts w:ascii="Tahoma" w:hAnsi="Tahoma"/>
      <w:kern w:val="2"/>
      <w:sz w:val="21"/>
      <w:szCs w:val="22"/>
    </w:rPr>
  </w:style>
  <w:style w:type="character" w:customStyle="1" w:styleId="30">
    <w:name w:val="__正文 Char"/>
    <w:link w:val="25"/>
    <w:qFormat/>
    <w:uiPriority w:val="0"/>
    <w:rPr>
      <w:rFonts w:ascii="Calibri" w:hAnsi="Calibri" w:eastAsia="宋体" w:cs="Times New Roman"/>
      <w:kern w:val="2"/>
      <w:sz w:val="24"/>
      <w:szCs w:val="21"/>
    </w:rPr>
  </w:style>
  <w:style w:type="paragraph" w:customStyle="1" w:styleId="31">
    <w:name w:val="标题 4_0"/>
    <w:basedOn w:val="21"/>
    <w:next w:val="21"/>
    <w:link w:val="32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  <w:lang w:val="zh-CN"/>
    </w:rPr>
  </w:style>
  <w:style w:type="character" w:customStyle="1" w:styleId="32">
    <w:name w:val="标题 4 Char"/>
    <w:link w:val="31"/>
    <w:qFormat/>
    <w:uiPriority w:val="9"/>
    <w:rPr>
      <w:rFonts w:ascii="Cambria" w:hAnsi="Cambria" w:eastAsia="宋体" w:cs="Times New Roman"/>
      <w:b/>
      <w:bCs/>
      <w:sz w:val="28"/>
      <w:szCs w:val="28"/>
      <w:lang w:val="zh-CN" w:eastAsia="en-US"/>
    </w:rPr>
  </w:style>
  <w:style w:type="character" w:customStyle="1" w:styleId="33">
    <w:name w:val="批注文字 字符"/>
    <w:basedOn w:val="17"/>
    <w:link w:val="8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34">
    <w:name w:val="标题 3 字符"/>
    <w:basedOn w:val="17"/>
    <w:link w:val="4"/>
    <w:qFormat/>
    <w:uiPriority w:val="0"/>
    <w:rPr>
      <w:rFonts w:ascii="宋体" w:hAnsi="Calibri" w:eastAsia="宋体" w:cs="宋体"/>
      <w:kern w:val="2"/>
      <w:sz w:val="21"/>
      <w:szCs w:val="22"/>
    </w:rPr>
  </w:style>
  <w:style w:type="character" w:customStyle="1" w:styleId="35">
    <w:name w:val="列出段落 字符"/>
    <w:link w:val="24"/>
    <w:qFormat/>
    <w:locked/>
    <w:uiPriority w:val="34"/>
    <w:rPr>
      <w:rFonts w:ascii="Calibri" w:hAnsi="Calibri" w:eastAsia="宋体" w:cs="Times New Roman"/>
      <w:kern w:val="2"/>
      <w:sz w:val="21"/>
      <w:szCs w:val="22"/>
    </w:rPr>
  </w:style>
  <w:style w:type="character" w:customStyle="1" w:styleId="36">
    <w:name w:val="批注主题 字符"/>
    <w:basedOn w:val="33"/>
    <w:link w:val="14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37">
    <w:name w:val="HTML 预设格式 字符"/>
    <w:basedOn w:val="17"/>
    <w:link w:val="12"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2424</Words>
  <Characters>2536</Characters>
  <Lines>18</Lines>
  <Paragraphs>5</Paragraphs>
  <TotalTime>2</TotalTime>
  <ScaleCrop>false</ScaleCrop>
  <LinksUpToDate>false</LinksUpToDate>
  <CharactersWithSpaces>2537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2023-06-26T03:27:00Z</dcterms:created>
  <dc:creator>Slien</dc:creator>
  <cp:lastModifiedBy>edu</cp:lastModifiedBy>
  <dcterms:modified xsi:type="dcterms:W3CDTF">2023-07-18T00:32:19Z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F74B681130FE4BF2AE162C592742027F_13</vt:lpwstr>
  </property>
</Properties>
</file>