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52"/>
        </w:rPr>
      </w:pPr>
      <w:r>
        <w:rPr>
          <w:rFonts w:hint="eastAsia" w:ascii="宋体" w:hAnsi="宋体" w:eastAsia="宋体" w:cs="宋体"/>
          <w:b/>
          <w:bCs/>
          <w:sz w:val="44"/>
          <w:szCs w:val="52"/>
        </w:rPr>
        <w:t>厦门医学院附属海沧医院</w:t>
      </w:r>
    </w:p>
    <w:p>
      <w:pPr>
        <w:jc w:val="center"/>
        <w:rPr>
          <w:rFonts w:hint="eastAsia" w:ascii="宋体" w:hAnsi="宋体" w:eastAsia="宋体" w:cs="宋体"/>
          <w:b/>
          <w:bCs/>
          <w:sz w:val="44"/>
          <w:szCs w:val="52"/>
        </w:rPr>
      </w:pPr>
      <w:r>
        <w:rPr>
          <w:rFonts w:hint="eastAsia" w:ascii="宋体" w:hAnsi="宋体" w:eastAsia="宋体" w:cs="宋体"/>
          <w:b/>
          <w:bCs/>
          <w:sz w:val="44"/>
          <w:szCs w:val="52"/>
        </w:rPr>
        <w:t>智能化系统维保服务要求</w:t>
      </w:r>
    </w:p>
    <w:p>
      <w:pPr>
        <w:rPr>
          <w:rFonts w:hint="eastAsia" w:ascii="仿宋" w:hAnsi="仿宋" w:eastAsia="仿宋" w:cs="仿宋"/>
          <w:sz w:val="28"/>
          <w:szCs w:val="36"/>
        </w:rPr>
      </w:pPr>
    </w:p>
    <w:p>
      <w:pPr>
        <w:rPr>
          <w:rFonts w:hint="eastAsia" w:ascii="仿宋" w:hAnsi="仿宋" w:eastAsia="仿宋" w:cs="仿宋"/>
          <w:sz w:val="28"/>
          <w:szCs w:val="36"/>
        </w:rPr>
      </w:pPr>
      <w:r>
        <w:rPr>
          <w:rFonts w:hint="eastAsia" w:ascii="仿宋" w:hAnsi="仿宋" w:eastAsia="仿宋" w:cs="仿宋"/>
          <w:sz w:val="28"/>
          <w:szCs w:val="36"/>
        </w:rPr>
        <w:t>一、项目概况概述</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1.1项目简介</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海沧医院旧楼自2013年竣工并投入使用，新楼自2016竣工并投入使用，距今已有8年之久，投资建设的智能化系统和信息化系统涵盖的子系统较多，技术门类繁杂。随着使用年限的增加，智能化系统和信息化系统出现不同程度老化和各种故障频发，维护难度也越来越大。因此，维护需专业中标单位、专业维护人员对智能化系统和信息化系统进行有计划的维护保养，并能及时应对和解决突发状况。维保工作一方面应保证系统的正常高效稳定运行，另一方面客观的延长设备使用寿命，使本院的智能化系统在今后的时间能够稳定有效的正常运行，保证本院的安全防范工作到位。</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1.12维护范围</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本项目维保服务范围：1号楼门诊大楼、2号楼急诊大楼、3号楼综合楼、5号楼、6号楼等区域。涵盖了监控系统、门禁系统、多媒体会议系统、信息发布系统、排队叫号系统、窗口对讲及医技对讲系统、标准时钟系统、有线电视系统、停车场管理系统、电子巡更系统、报警系统、背景音乐系统、综合布线系统、智能化专网及机房系统（配电、防雷、UPS供电、照明）等15个系统。本次采购维保范围不限于各系统的公共区域部分，还涵盖了各临床科室的各相关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1.3、维保服务要求</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结合厦门市海沧医院智能化系统和信息化系统设备分布范围广、设备数量及品种多、网络环境复杂，应用要求高维护、时效强等特点。厦门市海沧医院智能化系统维保服务要求：</w:t>
      </w:r>
    </w:p>
    <w:tbl>
      <w:tblPr>
        <w:tblStyle w:val="3"/>
        <w:tblW w:w="10892" w:type="dxa"/>
        <w:tblInd w:w="-1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2055"/>
        <w:gridCol w:w="3307"/>
        <w:gridCol w:w="3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pageBreakBefore w:val="0"/>
              <w:wordWrap/>
              <w:topLinePunct w:val="0"/>
              <w:bidi w:val="0"/>
              <w:snapToGrid/>
              <w:spacing w:before="0" w:beforeLines="50" w:beforeAutospacing="0" w:after="0" w:afterLines="50" w:line="240" w:lineRule="auto"/>
              <w:ind w:firstLine="556" w:firstLineChars="200"/>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服务名称</w:t>
            </w:r>
          </w:p>
        </w:tc>
        <w:tc>
          <w:tcPr>
            <w:tcW w:w="2055" w:type="dxa"/>
          </w:tcPr>
          <w:p>
            <w:pPr>
              <w:pageBreakBefore w:val="0"/>
              <w:wordWrap/>
              <w:topLinePunct w:val="0"/>
              <w:bidi w:val="0"/>
              <w:snapToGrid/>
              <w:spacing w:before="0" w:beforeLines="50" w:beforeAutospacing="0" w:after="0" w:afterLines="50" w:line="240" w:lineRule="auto"/>
              <w:ind w:firstLine="556" w:firstLineChars="200"/>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服务模式</w:t>
            </w:r>
          </w:p>
        </w:tc>
        <w:tc>
          <w:tcPr>
            <w:tcW w:w="3307" w:type="dxa"/>
          </w:tcPr>
          <w:p>
            <w:pPr>
              <w:pageBreakBefore w:val="0"/>
              <w:wordWrap/>
              <w:topLinePunct w:val="0"/>
              <w:bidi w:val="0"/>
              <w:snapToGrid/>
              <w:spacing w:before="0" w:beforeLines="50" w:beforeAutospacing="0" w:after="0" w:afterLines="50" w:line="240" w:lineRule="auto"/>
              <w:ind w:firstLine="556" w:firstLineChars="200"/>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服务内容</w:t>
            </w:r>
          </w:p>
        </w:tc>
        <w:tc>
          <w:tcPr>
            <w:tcW w:w="3445" w:type="dxa"/>
          </w:tcPr>
          <w:p>
            <w:pPr>
              <w:pageBreakBefore w:val="0"/>
              <w:wordWrap/>
              <w:topLinePunct w:val="0"/>
              <w:bidi w:val="0"/>
              <w:snapToGrid/>
              <w:spacing w:before="0" w:beforeLines="50" w:beforeAutospacing="0" w:after="0" w:afterLines="50" w:line="240" w:lineRule="auto"/>
              <w:ind w:firstLine="556" w:firstLineChars="200"/>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服务详细说明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vAlign w:val="center"/>
          </w:tcPr>
          <w:p>
            <w:pPr>
              <w:pageBreakBefore w:val="0"/>
              <w:wordWrap/>
              <w:topLinePunct w:val="0"/>
              <w:bidi w:val="0"/>
              <w:snapToGrid/>
              <w:spacing w:before="0" w:beforeLines="50" w:beforeAutospacing="0" w:after="0" w:afterLines="50" w:line="240" w:lineRule="auto"/>
              <w:jc w:val="both"/>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厦门医学院附属海沧医院智能化系统维保</w:t>
            </w:r>
          </w:p>
        </w:tc>
        <w:tc>
          <w:tcPr>
            <w:tcW w:w="2055" w:type="dxa"/>
            <w:vAlign w:val="center"/>
          </w:tcPr>
          <w:p>
            <w:pPr>
              <w:pageBreakBefore w:val="0"/>
              <w:wordWrap/>
              <w:topLinePunct w:val="0"/>
              <w:bidi w:val="0"/>
              <w:snapToGrid/>
              <w:spacing w:before="0" w:beforeLines="50" w:beforeAutospacing="0" w:after="0" w:afterLines="50" w:line="240" w:lineRule="auto"/>
              <w:jc w:val="both"/>
              <w:textAlignment w:val="auto"/>
              <w:rPr>
                <w:rFonts w:hint="eastAsia" w:ascii="仿宋" w:hAnsi="仿宋" w:eastAsia="仿宋" w:cs="仿宋"/>
                <w:sz w:val="28"/>
                <w:szCs w:val="28"/>
              </w:rPr>
            </w:pPr>
            <w:r>
              <w:rPr>
                <w:rFonts w:hint="eastAsia" w:ascii="仿宋" w:hAnsi="仿宋" w:eastAsia="仿宋" w:cs="仿宋"/>
                <w:spacing w:val="-1"/>
                <w:sz w:val="28"/>
                <w:szCs w:val="28"/>
              </w:rPr>
              <w:t>2名驻点工程师</w:t>
            </w:r>
          </w:p>
        </w:tc>
        <w:tc>
          <w:tcPr>
            <w:tcW w:w="3307" w:type="dxa"/>
            <w:vAlign w:val="center"/>
          </w:tcPr>
          <w:p>
            <w:pPr>
              <w:pageBreakBefore w:val="0"/>
              <w:wordWrap/>
              <w:topLinePunct w:val="0"/>
              <w:bidi w:val="0"/>
              <w:snapToGrid/>
              <w:spacing w:before="0" w:beforeLines="50" w:beforeAutospacing="0" w:after="0" w:afterLines="50" w:line="240" w:lineRule="auto"/>
              <w:jc w:val="both"/>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对厦门市海沧医院智能化系统软硬件日常应用维护、日常巡检，故障排除及设备维修保养等服务。</w:t>
            </w:r>
          </w:p>
        </w:tc>
        <w:tc>
          <w:tcPr>
            <w:tcW w:w="3445" w:type="dxa"/>
            <w:vAlign w:val="center"/>
          </w:tcPr>
          <w:p>
            <w:pPr>
              <w:pageBreakBefore w:val="0"/>
              <w:wordWrap/>
              <w:topLinePunct w:val="0"/>
              <w:bidi w:val="0"/>
              <w:snapToGrid/>
              <w:spacing w:before="0" w:beforeLines="50" w:beforeAutospacing="0" w:after="0" w:afterLines="50" w:line="240" w:lineRule="auto"/>
              <w:jc w:val="both"/>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1.指定的工程师5*8小时现场服务。</w:t>
            </w:r>
          </w:p>
          <w:p>
            <w:pPr>
              <w:pageBreakBefore w:val="0"/>
              <w:wordWrap/>
              <w:topLinePunct w:val="0"/>
              <w:bidi w:val="0"/>
              <w:snapToGrid/>
              <w:spacing w:before="0" w:beforeLines="50" w:beforeAutospacing="0" w:after="0" w:afterLines="50" w:line="240" w:lineRule="auto"/>
              <w:jc w:val="both"/>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2.故障排除服务</w:t>
            </w:r>
          </w:p>
          <w:p>
            <w:pPr>
              <w:pageBreakBefore w:val="0"/>
              <w:wordWrap/>
              <w:topLinePunct w:val="0"/>
              <w:bidi w:val="0"/>
              <w:snapToGrid/>
              <w:spacing w:before="0" w:beforeLines="50" w:beforeAutospacing="0" w:after="0" w:afterLines="50" w:line="240" w:lineRule="auto"/>
              <w:jc w:val="both"/>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3.硬件故障排查及更换</w:t>
            </w:r>
          </w:p>
          <w:p>
            <w:pPr>
              <w:pageBreakBefore w:val="0"/>
              <w:wordWrap/>
              <w:topLinePunct w:val="0"/>
              <w:bidi w:val="0"/>
              <w:snapToGrid/>
              <w:spacing w:before="0" w:beforeLines="50" w:beforeAutospacing="0" w:after="0" w:afterLines="50" w:line="240" w:lineRule="auto"/>
              <w:jc w:val="both"/>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4.提供配件及安装</w:t>
            </w:r>
          </w:p>
          <w:p>
            <w:pPr>
              <w:pageBreakBefore w:val="0"/>
              <w:wordWrap/>
              <w:topLinePunct w:val="0"/>
              <w:bidi w:val="0"/>
              <w:snapToGrid/>
              <w:spacing w:before="0" w:beforeLines="50" w:beforeAutospacing="0" w:after="0" w:afterLines="50" w:line="240" w:lineRule="auto"/>
              <w:jc w:val="both"/>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5.为中标单位定制专用备件库</w:t>
            </w:r>
          </w:p>
          <w:p>
            <w:pPr>
              <w:pageBreakBefore w:val="0"/>
              <w:wordWrap/>
              <w:topLinePunct w:val="0"/>
              <w:bidi w:val="0"/>
              <w:snapToGrid/>
              <w:spacing w:before="0" w:beforeLines="50" w:beforeAutospacing="0" w:after="0" w:afterLines="50" w:line="240" w:lineRule="auto"/>
              <w:jc w:val="both"/>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6.重要设备临时替用服务7.重点日期保障服务</w:t>
            </w:r>
          </w:p>
          <w:p>
            <w:pPr>
              <w:pageBreakBefore w:val="0"/>
              <w:wordWrap/>
              <w:topLinePunct w:val="0"/>
              <w:bidi w:val="0"/>
              <w:snapToGrid/>
              <w:spacing w:before="0" w:beforeLines="50" w:beforeAutospacing="0" w:after="0" w:afterLines="50" w:line="240" w:lineRule="auto"/>
              <w:jc w:val="both"/>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8.专家小组技术咨询服务</w:t>
            </w:r>
          </w:p>
        </w:tc>
      </w:tr>
    </w:tbl>
    <w:p>
      <w:pPr>
        <w:rPr>
          <w:rFonts w:hint="eastAsia" w:ascii="仿宋" w:hAnsi="仿宋" w:eastAsia="仿宋" w:cs="仿宋"/>
          <w:sz w:val="28"/>
          <w:szCs w:val="36"/>
        </w:rPr>
      </w:pPr>
      <w:r>
        <w:rPr>
          <w:rFonts w:hint="eastAsia" w:ascii="仿宋" w:hAnsi="仿宋" w:eastAsia="仿宋" w:cs="仿宋"/>
          <w:sz w:val="28"/>
          <w:szCs w:val="36"/>
        </w:rPr>
        <w:t>二、技术和服务要求</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1、视频监控系统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对系统前端摄像机、中心设备、管理软件等制定每月巡视计划，保证系统图像均能达到正常监视效果、系统中心设备正常运行，对重要场所摄像机工作状态进行加强巡检工作。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2.2 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通过监控室对前端摄像机进行每月巡视设备1次，并行成电子巡查文档记录。</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每月对视频矩阵，视频分配器，录像机，解码器，云台软件，电视大屏进行一次巡检。</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2、门禁管理系统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对系统前端门禁设备、按钮、锁具、控制器及中心设备、管理软件等制定每月巡检计划，保证系统设备正常运行，对重要场所门禁设备工作状态进行加强巡检工作。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2.1故障修复服务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2.2 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针对系统主机，门禁主机，打印机，系统软件，网络接口模块进行每月巡视设备一次。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门禁控制器，单读卡器模块，双读卡器模块，出门按钮，门磁，阴极锁，磁力锁，86型刷卡器，IC卡发行器，外置读头，玻璃门夹，门禁专用电源等前端设备每月巡检一次。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3、多媒体会议系统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32.1故障修复服务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3.2 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对系统前后端设备除尘、线路连通性检查；设备后端接口、端子、连接线检查牢固性；检查连接线路、接头氧化情况；</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4、信息发布系统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4.1.故障修复服务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4.2 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主要巡检内容为：查看LED显示系统主机和发布系统软件是否正常运行，查看LED显示屏是否正常运行，是否有黑屏、色差等现象，设备外观是否完整；</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巡检结果：巡检过程中，如有遇到发现故障存在，在24小时内完成故障排除。若巡检结果为大面积LED故障，或重点设备故障，需同时告知采购人故障可能引发的影响。</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巡检时间：每月巡检一次，巡检完成后，记录巡检内容结果，并形成月度巡检报告；</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重点日期保障：重点日期包括春节、五一、十一等节假日、国家大型政治活动以及其他采购人指定日期，在重点日期前，供应商应安排工程师做好LED显示系统的预防性检查，确保重点日期期间的系统正常运行。</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5、排队叫号系统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5.1.故障修复服务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5.2巡检服务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检查取号机、通讯控制器、一个窗口的呼叫器、语音系统是否运行正常；定期检测设备连接状态；检测通讯是否正常、时间显示、调整是否一致；定期测量设备通电电压，及时发现并处理问题保障设备使用寿命；定期对前端、终端设备进行卫生清理工作，检查触摸功能是否灵敏。</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6、窗口对讲及医技对讲系统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6.1.故障修复服务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6.2巡检服务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定期对对讲机及终端箱盒平正固定牢靠，电缆插接可靠进行检查。</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对供电情况进行检查促使系统供电电压正常，检查各设备连接线是否松动、 脱落，防止脱落使连接牢固。</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定期调整测试输入输出电平值，并记录每次测试电平值，满足功能正常。</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定期对该系统管线进行面上检查，防止虫鼠咬、人为破坏等使线路中断。</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定期检查系统各设备与接地体防雷连接保证使有良好电气连接。</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7、标准时钟系统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7.1.故障修复服务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7.2. 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检查时钟控制管理软件是否对子钟每个显示码段进行监控和亮度调节；检查子钟接收母钟的授时信号是否和北斗卫星时间同步,确保显示时间的准确度、可信度；检查子钟与母钟对时接口，是否支持网口、RS-485、CAN总线等。检查母钟的网络时间服务器扩展功能。</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8、有线电视系统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8.1.故障修复服务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8.2. 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定期对分支器、分配器及采购人终端箱盒平正固定牢靠，分支器、分配器连接 牢固，电缆插接可靠进行检查。如有变动及时调整过来。</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每个季对放大器供电情况进行检査促使系统供电电压正常，检查各设备连接 线是否松动、脱落，防止脱落使连接牢固。</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每季调整测试放大器输入输岀电平值，并记录每次测试电平值，满足正常收 看节目。</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定期对该系统管线进行面上检査，防止虫鼠咬、人为破坏等使线路中断。</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定期检查有线电视系统各设备与接地体防雷连接保证使有良好电气连接。</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9、停车场管理系统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9.1.故障修复服务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9.2. 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管理工作站的CPU风扇及机箱风扇的机油及机箱内灰尘清洁和录像保存时间是否达到要求、记录的检索回放等功能及计算机病毒防治，文件碎片的整理，数据资料备份；管理中心的显示、统计、信息储存等功能进行检测，对进出入车库的车辆进行统计，对当天、每月、每年的出入车辆进行统计，可以实时打印，能自动保存数据。</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出/入口车辆和车牌图像记录是否清晰，调用图像信息符合情况检测；管理中心监控站的车辆出入数据记录保存时间应满足管理要求；根据车库入口的实际情况，对通道、库容等进行检查，并对出入车库的车辆给 予准确的信号指示，显示车位是否已满等信息。</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读卡器功能检测，无效卡识别功能，非接触IC卡读卡器及读卡距离和灵敏度进行检测；测试每个读卡器刷卡开门的情况、是否有指示灯和声音，读卡器安装牢固检查；自动栅栏升降、防砸车功能测试；票箱功能检测，入场日期、时间等记录是否正常；车辆探测器的灵敏度及抗干扰性能测试。</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10、电子巡更系统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10.1.故障修复服务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10.2. 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按照巡更路线图检查系统的巡更终端、读卡机的性能；现场设备的接入率及完好率测试；检查巡更管理系统对任意区域或部位按时间线路进行任意编程修改的功能以及撤防、布防的功能；检查系统的运行状态、信息传输、故障报警和指示故障位置的功能；检查巡更管理系统对巡更人员的监督和记录情况、安全保障措施和对意外情况及时报警的处理手段。</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采集器与电脑通讯检查/检查传输器的电源线、通讯电缆线、通讯座等；用巡更棒检查各个信息钮无损坏情况、安装是否牢固。</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11、入侵报警系统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11.1故障修复服务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11.2 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 检查探测器的防破坏功能、探测器灵敏度、系统控制功能（包括系统的撤防、布防功能；关机和脱岗报警功能；系统后备电源自动切换功能）、通信功能（包括：报警信息传输、报警信息处理功能的检查）、报警系统管理软件（电子地图）功能、现场设备的接入率及完好率测试。</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 xml:space="preserve">12、背景音乐系统   </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对系统前端扬声器、系统中心设备、管理软件、与消防系统联动等制定定期巡检计划，保证系统运行正常。</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12.1故障修复服务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12.2巡检服务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对数字矩阵主机，功率放大器，数控调谐器，远程遥控麦克风设备每月巡检一次，CD播放机,双卡座,扬声器每月巡检一次，并形成月度巡检报告。</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安排多名维护工程师实施重点节假日或大型活动日前期全部设备巡检保障。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13、综合布线系统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13.1故障修复服务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13.2 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通过对管槽、机柜、弱电设备间的每月检查维护，包括线槽、机柜接地测试、设备间的封闭、通风、照明等；检查模块、接插件、适配器、跳线的连接、松动情况；</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定期对UTP线缆接插件架构布线链路测试，包括接线图、近端串扰、衰减、相邻线对综合端串扰、近端串扰与衰减差、等效远端串扰、远端等效串扰总和。</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14、计算机网络系统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14.1故障修复服务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15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14.2巡检服务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设备定期保养维护/硬件清洁及性能检测，确保硬件工作良好；外部存储设备读写检测/ 硬盘存储空间的优化整理/设备使用安全、规范化整理。</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网络的定期维护/网络应用系统 调试、网络传输速率、网络协议、权限、口令、备份等的设置检测；网络链路检测、维护；网络安全及防火墙检测；信息点工作状态检测。</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网络化设备和服务器的重要数据的备份，对保密机文件的安全处理。</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15、无线网络系统（内网）</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定期对无线AP网络设备运行状态进行检查和分析；为用户网络系统提供日常维护端口、IP地址分配；端口、IP地址调整；权限分配（帐号、密码、权限）；权限维护（帐号、密码、权限）； 对用户申报的无线AP网络设备故障提供技术支持（含远程、现场），尽快修复故障，提供报告; 针对客户当前网络设备运行情况，给出优化建议并实施，提升性能;根据客户业务发展趋势，评估网络设备当前及应有性能，提出建议。</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15.1.故障修复服务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用户报障，或巡检中发现网络故障后，驻点工程师及时响应，工作时间30分钟内到现场，判断故障情况，并根据服务要求，在4小时内完成故障排除，如遇到硬件故障或驻点工程师解决不了的故障，转二线工程师或备品备件库支持，快速排除故障，故障修复后驻点工程师应提交故障处理报告。</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15.2巡检服务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日常巡检内容：无线AP网络设备完整，线路完好；无线网络天线巡查；网络设备运行状态巡查；</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 xml:space="preserve">   线路连接状态巡查；设备标签制作、粘贴检查；线路整理；设备日志记录检查；配置文件备份检查；记录、数据的备份检查；设备供电状态监控；设备状态灯监控；设备风扇状态监控；网络丢包率；CPU使用率；内存使用率；网络连通性监控；网络延时监控；监控报告；网络设备端口/链路流量监控；网络链路误率测试等。</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16、机房系统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15.1对系统监测模块、空调设备、中心设备、管理软件等制定定期巡检计划，保证系统正常运行。</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15.1.1故障修复服务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30分钟内到现场，判断故障情况，并根据服务要求，在规定的时限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15.1.2巡检服务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（1）机房监测控制系统（环境监测、空调系统系统设备）日常巡检要求：环境检测系统每月巡检一次，实时监控。</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空调系统，每月巡检一次，实时监控设备运行状态，每季度保养维护一次，包含内外机除尘、更换过滤网等。</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（2）安排专业维护工程师做好大型运动会前期全部设备巡检保障。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15.2 UPS系统是保障机房系统和核心设备的稳定安全运行，UPS正常运行是关系到机房核心设备的稳定运行，供应商应提供日常保养、巡检和故障维修维护。</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15.2.1.故障修复服务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30分钟内到现场，判断故障情况，在24小时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15.2.2.巡检服务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巡检主要内容：查看主路输入、旁路输入、交流输出、本机负载、并机负载、电池数据、SPM支路电流、SPM支路计量、SPM支路负载等。根据数值情况对巡检记录中的“实时数值” “查询记录”勾选相应内容。</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数值合理范围如下：</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单相交流额定电压220V或三相交流额定电压380V，电压波动范围小于额定电压±10%，三相电源相间不平衡电压小于10%。</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巡检时间：每月巡检一次，巡检完成后记录巡检内容，并提供月度巡检报告。</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15.2.3保养服务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供应商应每季度一次的UPS设备（主机）保养维护服务，保养服务内容检查主机设备（包含电子元器件、主板、电容、开关等）健康情况，定期除尘，电池更换另计。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17、气体灭火及报警系统</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信息中心消防设备化药剂进行检查，有无过期、泄漏、破损、故障等检查。发生故障及时联系消防维保单位进行维护处理。</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18、防雷接地工程</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 防雷接地系统：中华人民共和国国家标准《建筑物防雷设计规范》（GB50057-94）要求：为防止由电源线侵入的感应雷破坏机房信息系统，应在电源线路引入的配电箱处装设过电压保护器。</w:t>
      </w:r>
    </w:p>
    <w:p>
      <w:pPr>
        <w:keepNext w:val="0"/>
        <w:keepLines w:val="0"/>
        <w:pageBreakBefore w:val="0"/>
        <w:widowControl w:val="0"/>
        <w:kinsoku/>
        <w:wordWrap/>
        <w:overflowPunct/>
        <w:topLinePunct w:val="0"/>
        <w:autoSpaceDE/>
        <w:autoSpaceDN/>
        <w:bidi w:val="0"/>
        <w:adjustRightInd/>
        <w:snapToGrid/>
        <w:ind w:firstLine="422" w:firstLineChars="150"/>
        <w:jc w:val="center"/>
        <w:textAlignment w:val="auto"/>
        <w:rPr>
          <w:rFonts w:hint="eastAsia" w:ascii="仿宋" w:hAnsi="仿宋" w:eastAsia="仿宋" w:cs="仿宋"/>
          <w:b/>
          <w:bCs/>
          <w:sz w:val="28"/>
          <w:szCs w:val="36"/>
        </w:rPr>
      </w:pPr>
      <w:r>
        <w:rPr>
          <w:rFonts w:hint="eastAsia" w:ascii="仿宋" w:hAnsi="仿宋" w:eastAsia="仿宋" w:cs="仿宋"/>
          <w:b/>
          <w:bCs/>
          <w:sz w:val="28"/>
          <w:szCs w:val="36"/>
        </w:rPr>
        <w:t>故障修复服务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接到采购人报障，或巡检中发现故障后，驻点工程师及时响应，工作时间内30分钟内到现场，判断故障情况，在24小时内完成故障排除，如遇到硬件故障或驻点工程师解决不了的故障，转二线工程师或备品备件库支持，快速排除故障。</w:t>
      </w:r>
    </w:p>
    <w:p>
      <w:pPr>
        <w:keepNext w:val="0"/>
        <w:keepLines w:val="0"/>
        <w:pageBreakBefore w:val="0"/>
        <w:widowControl w:val="0"/>
        <w:kinsoku/>
        <w:wordWrap/>
        <w:overflowPunct/>
        <w:topLinePunct w:val="0"/>
        <w:autoSpaceDE/>
        <w:autoSpaceDN/>
        <w:bidi w:val="0"/>
        <w:adjustRightInd/>
        <w:snapToGrid/>
        <w:ind w:firstLine="422" w:firstLineChars="150"/>
        <w:jc w:val="center"/>
        <w:textAlignment w:val="auto"/>
        <w:rPr>
          <w:rFonts w:hint="eastAsia" w:ascii="仿宋" w:hAnsi="仿宋" w:eastAsia="仿宋" w:cs="仿宋"/>
          <w:b/>
          <w:bCs/>
          <w:sz w:val="28"/>
          <w:szCs w:val="36"/>
        </w:rPr>
      </w:pPr>
      <w:r>
        <w:rPr>
          <w:rFonts w:hint="eastAsia" w:ascii="仿宋" w:hAnsi="仿宋" w:eastAsia="仿宋" w:cs="仿宋"/>
          <w:b/>
          <w:bCs/>
          <w:sz w:val="28"/>
          <w:szCs w:val="36"/>
        </w:rPr>
        <w:t>巡检服务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巡检主要内容：查看主级防雷、次级防雷、设备电源线，保护电子设备免受损坏；巡检时间：每月巡检一次，巡检完成后记录巡检内容，并提供月度巡检报告。</w:t>
      </w:r>
    </w:p>
    <w:p>
      <w:pPr>
        <w:keepNext w:val="0"/>
        <w:keepLines w:val="0"/>
        <w:pageBreakBefore w:val="0"/>
        <w:widowControl w:val="0"/>
        <w:kinsoku/>
        <w:wordWrap/>
        <w:overflowPunct/>
        <w:topLinePunct w:val="0"/>
        <w:autoSpaceDE/>
        <w:autoSpaceDN/>
        <w:bidi w:val="0"/>
        <w:adjustRightInd/>
        <w:snapToGrid/>
        <w:ind w:firstLine="422" w:firstLineChars="150"/>
        <w:jc w:val="center"/>
        <w:textAlignment w:val="auto"/>
        <w:rPr>
          <w:rFonts w:hint="eastAsia" w:ascii="仿宋" w:hAnsi="仿宋" w:eastAsia="仿宋" w:cs="仿宋"/>
          <w:b/>
          <w:bCs/>
          <w:sz w:val="28"/>
          <w:szCs w:val="36"/>
        </w:rPr>
      </w:pPr>
      <w:r>
        <w:rPr>
          <w:rFonts w:hint="eastAsia" w:ascii="仿宋" w:hAnsi="仿宋" w:eastAsia="仿宋" w:cs="仿宋"/>
          <w:b/>
          <w:bCs/>
          <w:sz w:val="28"/>
          <w:szCs w:val="36"/>
        </w:rPr>
        <w:t>保养服务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外部防雷装置的电气连续性，若发现有脱焊、松动和锈蚀等，应进行相应的处理，特别是在断接卡或接地测试点处，应经常进行电气连续性测量。</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检查放电计数器完好、指示数值正确，按照要求做好记录。</w:t>
      </w:r>
    </w:p>
    <w:p>
      <w:pPr>
        <w:jc w:val="center"/>
        <w:rPr>
          <w:rFonts w:hint="eastAsia" w:ascii="仿宋" w:hAnsi="仿宋" w:eastAsia="仿宋" w:cs="仿宋"/>
          <w:b/>
          <w:bCs/>
          <w:sz w:val="28"/>
          <w:szCs w:val="36"/>
        </w:rPr>
      </w:pPr>
      <w:r>
        <w:rPr>
          <w:rFonts w:hint="eastAsia" w:ascii="仿宋" w:hAnsi="仿宋" w:eastAsia="仿宋" w:cs="仿宋"/>
          <w:b/>
          <w:bCs/>
          <w:sz w:val="28"/>
          <w:szCs w:val="36"/>
        </w:rPr>
        <w:t>三、维护工作要求</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投标人中标后应根据采购人要求详细制定每月计划表，明确落实每个时间段的具体维护任务，由项目负责人负责，建立岗位责任制，具体落实到每个人，确保维护任务保质保量按时完成。</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日工作内容：要求中标单位人员到达厦门市海沧医院，对系统工作状况进行日常检查、处理自行发现及值班人员报送的故障，登记故障情况及处理结果。周工作内容：将本周内的故障及维护情况进行整理和反馈，对未能及时处理的故障应说明原因。月工作内容：对系统的主要设备进行一次技术性能检测，将该月的保养、维护和所用主材等情况列表登记，并报送指定的维护监管人。季度工作内容：对所有智能化点位的设备巡查,并进行必要的清洁、接口检查及线路检查整理；对每个点设备及机柜进行巡查,并进行必要的除尘清洁、接地检查及设备线路和接口的整理，使之安全、整洁；</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检查维保所需的仪器、仪表、通讯工具，保证设备仪器正常运转，确保维修时所必需的工具。定期对有关仪器、仪表进行校正、维修，保证所有仪器设备正常使用。</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维修人员每人每周记录工作周记，以便汇总后向项目负责人汇报。每周末、月底，由项目负责人负责召开例会，维护人员做本周、月工作总结，同时具体安排下周及下月工作安排，并报送备案。</w:t>
      </w:r>
    </w:p>
    <w:p>
      <w:pPr>
        <w:keepNext w:val="0"/>
        <w:keepLines w:val="0"/>
        <w:pageBreakBefore w:val="0"/>
        <w:widowControl w:val="0"/>
        <w:kinsoku/>
        <w:wordWrap/>
        <w:overflowPunct/>
        <w:topLinePunct w:val="0"/>
        <w:autoSpaceDE/>
        <w:autoSpaceDN/>
        <w:bidi w:val="0"/>
        <w:adjustRightInd/>
        <w:snapToGrid/>
        <w:ind w:firstLine="422" w:firstLineChars="150"/>
        <w:jc w:val="center"/>
        <w:textAlignment w:val="auto"/>
        <w:rPr>
          <w:rFonts w:hint="eastAsia" w:ascii="仿宋" w:hAnsi="仿宋" w:eastAsia="仿宋" w:cs="仿宋"/>
          <w:b/>
          <w:bCs/>
          <w:sz w:val="28"/>
          <w:szCs w:val="36"/>
        </w:rPr>
      </w:pPr>
      <w:r>
        <w:rPr>
          <w:rFonts w:hint="eastAsia" w:ascii="仿宋" w:hAnsi="仿宋" w:eastAsia="仿宋" w:cs="仿宋"/>
          <w:b/>
          <w:bCs/>
          <w:sz w:val="28"/>
          <w:szCs w:val="36"/>
        </w:rPr>
        <w:t>设备维修响应、修复时间</w:t>
      </w:r>
    </w:p>
    <w:p>
      <w:pPr>
        <w:rPr>
          <w:rFonts w:hint="eastAsia" w:ascii="仿宋" w:hAnsi="仿宋" w:eastAsia="仿宋" w:cs="仿宋"/>
          <w:sz w:val="28"/>
          <w:szCs w:val="36"/>
        </w:rPr>
      </w:pPr>
      <w:r>
        <w:rPr>
          <w:rFonts w:hint="eastAsia" w:ascii="仿宋" w:hAnsi="仿宋" w:eastAsia="仿宋" w:cs="仿宋"/>
          <w:sz w:val="28"/>
          <w:szCs w:val="36"/>
        </w:rPr>
        <w:t>①故障级别定义</w:t>
      </w:r>
    </w:p>
    <w:p>
      <w:pPr>
        <w:rPr>
          <w:rFonts w:hint="eastAsia" w:ascii="仿宋" w:hAnsi="仿宋" w:eastAsia="仿宋" w:cs="仿宋"/>
          <w:sz w:val="28"/>
          <w:szCs w:val="36"/>
        </w:rPr>
      </w:pPr>
      <w:r>
        <w:rPr>
          <w:rFonts w:hint="eastAsia" w:ascii="仿宋" w:hAnsi="仿宋" w:eastAsia="仿宋" w:cs="仿宋"/>
          <w:sz w:val="28"/>
          <w:szCs w:val="36"/>
        </w:rPr>
        <w:t>序号</w:t>
      </w:r>
      <w:r>
        <w:rPr>
          <w:rFonts w:hint="eastAsia" w:ascii="仿宋" w:hAnsi="仿宋" w:eastAsia="仿宋" w:cs="仿宋"/>
          <w:sz w:val="28"/>
          <w:szCs w:val="36"/>
        </w:rPr>
        <w:tab/>
      </w:r>
      <w:r>
        <w:rPr>
          <w:rFonts w:hint="eastAsia" w:ascii="仿宋" w:hAnsi="仿宋" w:eastAsia="仿宋" w:cs="仿宋"/>
          <w:sz w:val="28"/>
          <w:szCs w:val="36"/>
        </w:rPr>
        <w:t>故障级别定义</w:t>
      </w:r>
      <w:r>
        <w:rPr>
          <w:rFonts w:hint="eastAsia" w:ascii="仿宋" w:hAnsi="仿宋" w:eastAsia="仿宋" w:cs="仿宋"/>
          <w:sz w:val="28"/>
          <w:szCs w:val="36"/>
        </w:rPr>
        <w:tab/>
      </w:r>
      <w:r>
        <w:rPr>
          <w:rFonts w:hint="eastAsia" w:ascii="仿宋" w:hAnsi="仿宋" w:eastAsia="仿宋" w:cs="仿宋"/>
          <w:sz w:val="28"/>
          <w:szCs w:val="36"/>
        </w:rPr>
        <w:t>故障现象描述</w:t>
      </w:r>
    </w:p>
    <w:tbl>
      <w:tblPr>
        <w:tblStyle w:val="2"/>
        <w:tblW w:w="9510" w:type="dxa"/>
        <w:jc w:val="center"/>
        <w:tblLayout w:type="fixed"/>
        <w:tblCellMar>
          <w:top w:w="15" w:type="dxa"/>
          <w:left w:w="15" w:type="dxa"/>
          <w:bottom w:w="15" w:type="dxa"/>
          <w:right w:w="15" w:type="dxa"/>
        </w:tblCellMar>
      </w:tblPr>
      <w:tblGrid>
        <w:gridCol w:w="2016"/>
        <w:gridCol w:w="1888"/>
        <w:gridCol w:w="5606"/>
      </w:tblGrid>
      <w:tr>
        <w:tblPrEx>
          <w:tblCellMar>
            <w:top w:w="15" w:type="dxa"/>
            <w:left w:w="15" w:type="dxa"/>
            <w:bottom w:w="15" w:type="dxa"/>
            <w:right w:w="15" w:type="dxa"/>
          </w:tblCellMar>
        </w:tblPrEx>
        <w:trPr>
          <w:jc w:val="center"/>
        </w:trPr>
        <w:tc>
          <w:tcPr>
            <w:tcW w:w="2016" w:type="dxa"/>
            <w:tcBorders>
              <w:top w:val="single" w:color="auto" w:sz="4" w:space="0"/>
              <w:left w:val="single" w:color="auto" w:sz="4" w:space="0"/>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888" w:type="dxa"/>
            <w:tcBorders>
              <w:top w:val="single" w:color="auto" w:sz="4" w:space="0"/>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级别定义</w:t>
            </w:r>
          </w:p>
        </w:tc>
        <w:tc>
          <w:tcPr>
            <w:tcW w:w="5606" w:type="dxa"/>
            <w:tcBorders>
              <w:top w:val="single" w:color="auto" w:sz="4" w:space="0"/>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故障现象描述</w:t>
            </w:r>
          </w:p>
        </w:tc>
      </w:tr>
      <w:tr>
        <w:tblPrEx>
          <w:tblCellMar>
            <w:top w:w="15" w:type="dxa"/>
            <w:left w:w="15" w:type="dxa"/>
            <w:bottom w:w="15" w:type="dxa"/>
            <w:right w:w="15" w:type="dxa"/>
          </w:tblCellMar>
        </w:tblPrEx>
        <w:trPr>
          <w:trHeight w:val="65" w:hRule="atLeast"/>
          <w:jc w:val="center"/>
        </w:trPr>
        <w:tc>
          <w:tcPr>
            <w:tcW w:w="2016" w:type="dxa"/>
            <w:tcBorders>
              <w:top w:val="nil"/>
              <w:left w:val="single" w:color="auto" w:sz="4" w:space="0"/>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888"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紧急故障</w:t>
            </w:r>
          </w:p>
        </w:tc>
        <w:tc>
          <w:tcPr>
            <w:tcW w:w="5606"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因平台原因使系统运行中断，设备有故障，对采购人业务的运行有严重影响</w:t>
            </w:r>
          </w:p>
        </w:tc>
      </w:tr>
      <w:tr>
        <w:tblPrEx>
          <w:tblCellMar>
            <w:top w:w="15" w:type="dxa"/>
            <w:left w:w="15" w:type="dxa"/>
            <w:bottom w:w="15" w:type="dxa"/>
            <w:right w:w="15" w:type="dxa"/>
          </w:tblCellMar>
        </w:tblPrEx>
        <w:trPr>
          <w:trHeight w:val="65" w:hRule="atLeast"/>
          <w:jc w:val="center"/>
        </w:trPr>
        <w:tc>
          <w:tcPr>
            <w:tcW w:w="2016" w:type="dxa"/>
            <w:tcBorders>
              <w:top w:val="nil"/>
              <w:left w:val="single" w:color="auto" w:sz="4" w:space="0"/>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888"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一般故障</w:t>
            </w:r>
          </w:p>
        </w:tc>
        <w:tc>
          <w:tcPr>
            <w:tcW w:w="5606"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在系统主要功能及性能指标运行正常的情况下，系统部分功能与性能受损 ，设备有故障</w:t>
            </w:r>
          </w:p>
        </w:tc>
      </w:tr>
    </w:tbl>
    <w:p>
      <w:pPr>
        <w:rPr>
          <w:rFonts w:hint="eastAsia" w:ascii="仿宋" w:hAnsi="仿宋" w:eastAsia="仿宋" w:cs="仿宋"/>
          <w:sz w:val="28"/>
          <w:szCs w:val="36"/>
        </w:rPr>
      </w:pPr>
      <w:r>
        <w:rPr>
          <w:rFonts w:hint="eastAsia" w:ascii="仿宋" w:hAnsi="仿宋" w:eastAsia="仿宋" w:cs="仿宋"/>
          <w:sz w:val="28"/>
          <w:szCs w:val="36"/>
        </w:rPr>
        <w:t>②设备维修响应、修复时间</w:t>
      </w:r>
    </w:p>
    <w:p>
      <w:pPr>
        <w:rPr>
          <w:rFonts w:hint="eastAsia" w:ascii="仿宋" w:hAnsi="仿宋" w:eastAsia="仿宋" w:cs="仿宋"/>
          <w:sz w:val="28"/>
          <w:szCs w:val="36"/>
        </w:rPr>
      </w:pPr>
    </w:p>
    <w:p>
      <w:pPr>
        <w:rPr>
          <w:rFonts w:hint="eastAsia" w:ascii="仿宋" w:hAnsi="仿宋" w:eastAsia="仿宋" w:cs="仿宋"/>
          <w:sz w:val="28"/>
          <w:szCs w:val="36"/>
        </w:rPr>
      </w:pPr>
    </w:p>
    <w:tbl>
      <w:tblPr>
        <w:tblStyle w:val="2"/>
        <w:tblW w:w="10334" w:type="dxa"/>
        <w:jc w:val="center"/>
        <w:tblLayout w:type="fixed"/>
        <w:tblCellMar>
          <w:top w:w="15" w:type="dxa"/>
          <w:left w:w="15" w:type="dxa"/>
          <w:bottom w:w="15" w:type="dxa"/>
          <w:right w:w="15" w:type="dxa"/>
        </w:tblCellMar>
      </w:tblPr>
      <w:tblGrid>
        <w:gridCol w:w="1725"/>
        <w:gridCol w:w="1744"/>
        <w:gridCol w:w="2516"/>
        <w:gridCol w:w="4349"/>
      </w:tblGrid>
      <w:tr>
        <w:trPr>
          <w:trHeight w:val="392" w:hRule="atLeast"/>
          <w:jc w:val="center"/>
        </w:trPr>
        <w:tc>
          <w:tcPr>
            <w:tcW w:w="1725" w:type="dxa"/>
            <w:vMerge w:val="restart"/>
            <w:tcBorders>
              <w:top w:val="single" w:color="auto" w:sz="4" w:space="0"/>
              <w:left w:val="single" w:color="auto" w:sz="4" w:space="0"/>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b/>
                <w:bCs/>
                <w:sz w:val="28"/>
                <w:szCs w:val="28"/>
              </w:rPr>
              <w:t>故障级别</w:t>
            </w:r>
          </w:p>
        </w:tc>
        <w:tc>
          <w:tcPr>
            <w:tcW w:w="1744" w:type="dxa"/>
            <w:vMerge w:val="restart"/>
            <w:tcBorders>
              <w:top w:val="single" w:color="auto" w:sz="4" w:space="0"/>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b/>
                <w:bCs/>
                <w:sz w:val="28"/>
                <w:szCs w:val="28"/>
              </w:rPr>
              <w:t>服务请求时间</w:t>
            </w:r>
          </w:p>
        </w:tc>
        <w:tc>
          <w:tcPr>
            <w:tcW w:w="6865" w:type="dxa"/>
            <w:gridSpan w:val="2"/>
            <w:tcBorders>
              <w:top w:val="single" w:color="auto" w:sz="4" w:space="0"/>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b/>
                <w:bCs/>
                <w:sz w:val="28"/>
                <w:szCs w:val="28"/>
              </w:rPr>
              <w:t>响应时间</w:t>
            </w:r>
          </w:p>
        </w:tc>
      </w:tr>
      <w:tr>
        <w:tblPrEx>
          <w:tblCellMar>
            <w:top w:w="15" w:type="dxa"/>
            <w:left w:w="15" w:type="dxa"/>
            <w:bottom w:w="15" w:type="dxa"/>
            <w:right w:w="15" w:type="dxa"/>
          </w:tblCellMar>
        </w:tblPrEx>
        <w:trPr>
          <w:trHeight w:val="458" w:hRule="atLeast"/>
          <w:jc w:val="center"/>
        </w:trPr>
        <w:tc>
          <w:tcPr>
            <w:tcW w:w="172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wordWrap/>
              <w:topLinePunct w:val="0"/>
              <w:bidi w:val="0"/>
              <w:snapToGrid/>
              <w:spacing w:before="0" w:beforeLines="50" w:beforeAutospacing="0" w:after="0" w:afterLines="50" w:line="240" w:lineRule="auto"/>
              <w:ind w:firstLine="560" w:firstLineChars="200"/>
              <w:jc w:val="center"/>
              <w:textAlignment w:val="auto"/>
              <w:rPr>
                <w:rFonts w:hint="eastAsia" w:ascii="仿宋" w:hAnsi="仿宋" w:eastAsia="仿宋" w:cs="仿宋"/>
                <w:sz w:val="28"/>
                <w:szCs w:val="28"/>
              </w:rPr>
            </w:pPr>
          </w:p>
        </w:tc>
        <w:tc>
          <w:tcPr>
            <w:tcW w:w="1744" w:type="dxa"/>
            <w:vMerge w:val="continue"/>
            <w:tcBorders>
              <w:top w:val="single" w:color="auto" w:sz="4" w:space="0"/>
              <w:left w:val="nil"/>
              <w:bottom w:val="single" w:color="auto" w:sz="4" w:space="0"/>
              <w:right w:val="single" w:color="auto" w:sz="4" w:space="0"/>
            </w:tcBorders>
            <w:vAlign w:val="center"/>
          </w:tcPr>
          <w:p>
            <w:pPr>
              <w:pageBreakBefore w:val="0"/>
              <w:widowControl/>
              <w:wordWrap/>
              <w:topLinePunct w:val="0"/>
              <w:bidi w:val="0"/>
              <w:snapToGrid/>
              <w:spacing w:before="0" w:beforeLines="50" w:beforeAutospacing="0" w:after="0" w:afterLines="50" w:line="240" w:lineRule="auto"/>
              <w:ind w:firstLine="560" w:firstLineChars="200"/>
              <w:jc w:val="center"/>
              <w:textAlignment w:val="auto"/>
              <w:rPr>
                <w:rFonts w:hint="eastAsia" w:ascii="仿宋" w:hAnsi="仿宋" w:eastAsia="仿宋" w:cs="仿宋"/>
                <w:sz w:val="28"/>
                <w:szCs w:val="28"/>
              </w:rPr>
            </w:pPr>
          </w:p>
        </w:tc>
        <w:tc>
          <w:tcPr>
            <w:tcW w:w="2516"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电话/传真/E-mail</w:t>
            </w:r>
          </w:p>
        </w:tc>
        <w:tc>
          <w:tcPr>
            <w:tcW w:w="4349"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现场服务</w:t>
            </w:r>
          </w:p>
        </w:tc>
      </w:tr>
      <w:tr>
        <w:tblPrEx>
          <w:tblCellMar>
            <w:top w:w="15" w:type="dxa"/>
            <w:left w:w="15" w:type="dxa"/>
            <w:bottom w:w="15" w:type="dxa"/>
            <w:right w:w="15" w:type="dxa"/>
          </w:tblCellMar>
        </w:tblPrEx>
        <w:trPr>
          <w:jc w:val="center"/>
        </w:trPr>
        <w:tc>
          <w:tcPr>
            <w:tcW w:w="1725" w:type="dxa"/>
            <w:tcBorders>
              <w:top w:val="nil"/>
              <w:left w:val="single" w:color="auto" w:sz="4" w:space="0"/>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紧急故障</w:t>
            </w:r>
          </w:p>
        </w:tc>
        <w:tc>
          <w:tcPr>
            <w:tcW w:w="1744"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7*24小时</w:t>
            </w:r>
          </w:p>
        </w:tc>
        <w:tc>
          <w:tcPr>
            <w:tcW w:w="2516"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textAlignment w:val="auto"/>
              <w:rPr>
                <w:rFonts w:hint="eastAsia" w:ascii="仿宋" w:hAnsi="仿宋" w:eastAsia="仿宋" w:cs="仿宋"/>
                <w:sz w:val="28"/>
                <w:szCs w:val="28"/>
              </w:rPr>
            </w:pPr>
            <w:r>
              <w:rPr>
                <w:rFonts w:hint="eastAsia" w:ascii="仿宋" w:hAnsi="仿宋" w:eastAsia="仿宋" w:cs="仿宋"/>
                <w:sz w:val="28"/>
                <w:szCs w:val="28"/>
              </w:rPr>
              <w:t>接到服务请求后30分钟内给予答复，提供初步故障诊断分析和解决方案</w:t>
            </w:r>
          </w:p>
        </w:tc>
        <w:tc>
          <w:tcPr>
            <w:tcW w:w="4349"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ordWrap/>
              <w:topLinePunct w:val="0"/>
              <w:bidi w:val="0"/>
              <w:snapToGrid/>
              <w:spacing w:before="0" w:beforeLines="50" w:beforeAutospacing="0" w:after="0" w:afterLines="50" w:line="240" w:lineRule="auto"/>
              <w:textAlignment w:val="auto"/>
              <w:rPr>
                <w:rFonts w:hint="eastAsia" w:ascii="仿宋" w:hAnsi="仿宋" w:eastAsia="仿宋" w:cs="仿宋"/>
                <w:sz w:val="28"/>
                <w:szCs w:val="28"/>
              </w:rPr>
            </w:pPr>
            <w:r>
              <w:rPr>
                <w:rFonts w:hint="eastAsia" w:ascii="仿宋" w:hAnsi="仿宋" w:eastAsia="仿宋" w:cs="仿宋"/>
                <w:sz w:val="28"/>
                <w:szCs w:val="28"/>
              </w:rPr>
              <w:t>在接到服务请求后内到达现场进行检测、维修，1小时内解决故障，如需更换设备或配件，应在12小时内解决故障；如需更换的设备或配件无现货，应在7天内解决故障。</w:t>
            </w:r>
          </w:p>
        </w:tc>
      </w:tr>
      <w:tr>
        <w:tblPrEx>
          <w:tblCellMar>
            <w:top w:w="15" w:type="dxa"/>
            <w:left w:w="15" w:type="dxa"/>
            <w:bottom w:w="15" w:type="dxa"/>
            <w:right w:w="15" w:type="dxa"/>
          </w:tblCellMar>
        </w:tblPrEx>
        <w:trPr>
          <w:trHeight w:val="65" w:hRule="atLeast"/>
          <w:jc w:val="center"/>
        </w:trPr>
        <w:tc>
          <w:tcPr>
            <w:tcW w:w="1725" w:type="dxa"/>
            <w:tcBorders>
              <w:top w:val="nil"/>
              <w:left w:val="single" w:color="auto" w:sz="4" w:space="0"/>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一般故障</w:t>
            </w:r>
          </w:p>
        </w:tc>
        <w:tc>
          <w:tcPr>
            <w:tcW w:w="1744"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5*8小时</w:t>
            </w:r>
          </w:p>
        </w:tc>
        <w:tc>
          <w:tcPr>
            <w:tcW w:w="2516"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idowControl/>
              <w:wordWrap/>
              <w:topLinePunct w:val="0"/>
              <w:bidi w:val="0"/>
              <w:snapToGrid/>
              <w:spacing w:before="0" w:beforeLines="50" w:beforeAutospacing="0" w:after="0" w:afterLines="50" w:line="240" w:lineRule="auto"/>
              <w:textAlignment w:val="auto"/>
              <w:rPr>
                <w:rFonts w:hint="eastAsia" w:ascii="仿宋" w:hAnsi="仿宋" w:eastAsia="仿宋" w:cs="仿宋"/>
                <w:sz w:val="28"/>
                <w:szCs w:val="28"/>
              </w:rPr>
            </w:pPr>
            <w:r>
              <w:rPr>
                <w:rFonts w:hint="eastAsia" w:ascii="仿宋" w:hAnsi="仿宋" w:eastAsia="仿宋" w:cs="仿宋"/>
                <w:sz w:val="28"/>
                <w:szCs w:val="28"/>
              </w:rPr>
              <w:t>接到服务请求后60分钟内给予答复，提供故障诊断分析和解决方案</w:t>
            </w:r>
          </w:p>
        </w:tc>
        <w:tc>
          <w:tcPr>
            <w:tcW w:w="4349" w:type="dxa"/>
            <w:tcBorders>
              <w:top w:val="nil"/>
              <w:left w:val="nil"/>
              <w:bottom w:val="single" w:color="auto" w:sz="4" w:space="0"/>
              <w:right w:val="single" w:color="auto" w:sz="4" w:space="0"/>
            </w:tcBorders>
            <w:tcMar>
              <w:top w:w="15" w:type="dxa"/>
              <w:left w:w="105" w:type="dxa"/>
              <w:bottom w:w="15" w:type="dxa"/>
              <w:right w:w="105" w:type="dxa"/>
            </w:tcMar>
            <w:vAlign w:val="center"/>
          </w:tcPr>
          <w:p>
            <w:pPr>
              <w:pageBreakBefore w:val="0"/>
              <w:wordWrap/>
              <w:topLinePunct w:val="0"/>
              <w:bidi w:val="0"/>
              <w:snapToGrid/>
              <w:spacing w:before="0" w:beforeLines="50" w:beforeAutospacing="0" w:after="0" w:afterLines="50" w:line="240" w:lineRule="auto"/>
              <w:textAlignment w:val="auto"/>
              <w:rPr>
                <w:rFonts w:hint="eastAsia" w:ascii="仿宋" w:hAnsi="仿宋" w:eastAsia="仿宋" w:cs="仿宋"/>
                <w:sz w:val="28"/>
                <w:szCs w:val="28"/>
              </w:rPr>
            </w:pPr>
            <w:r>
              <w:rPr>
                <w:rFonts w:hint="eastAsia" w:ascii="仿宋" w:hAnsi="仿宋" w:eastAsia="仿宋" w:cs="仿宋"/>
                <w:sz w:val="28"/>
                <w:szCs w:val="28"/>
              </w:rPr>
              <w:t>在接到服务请求后1小时内到达现场进行检测、维修，4小时内解决故障，如需更换设备或配件，应在24小时内解决故障；如需更换的设备或配件无现货，应在15天内解决故障。</w:t>
            </w:r>
          </w:p>
        </w:tc>
      </w:tr>
    </w:tbl>
    <w:p>
      <w:pPr>
        <w:rPr>
          <w:rFonts w:hint="eastAsia" w:ascii="仿宋" w:hAnsi="仿宋" w:eastAsia="仿宋" w:cs="仿宋"/>
          <w:sz w:val="28"/>
          <w:szCs w:val="36"/>
        </w:rPr>
      </w:pPr>
    </w:p>
    <w:p>
      <w:pPr>
        <w:rPr>
          <w:rFonts w:hint="eastAsia" w:ascii="仿宋" w:hAnsi="仿宋" w:eastAsia="仿宋" w:cs="仿宋"/>
          <w:sz w:val="28"/>
          <w:szCs w:val="36"/>
        </w:rPr>
      </w:pPr>
      <w:r>
        <w:rPr>
          <w:rFonts w:hint="eastAsia" w:ascii="仿宋" w:hAnsi="仿宋" w:eastAsia="仿宋" w:cs="仿宋"/>
          <w:sz w:val="28"/>
          <w:szCs w:val="36"/>
        </w:rPr>
        <w:t>③重要事项，重要会议等保障时间，中标单位在接到采购人服务请求后驻场人员</w:t>
      </w:r>
      <w:r>
        <w:rPr>
          <w:rFonts w:hint="eastAsia" w:ascii="仿宋" w:hAnsi="仿宋" w:eastAsia="仿宋" w:cs="仿宋"/>
          <w:sz w:val="28"/>
          <w:szCs w:val="36"/>
          <w:lang w:val="en-US" w:eastAsia="zh-CN"/>
        </w:rPr>
        <w:t>提前</w:t>
      </w:r>
      <w:r>
        <w:rPr>
          <w:rFonts w:hint="eastAsia" w:ascii="仿宋" w:hAnsi="仿宋" w:eastAsia="仿宋" w:cs="仿宋"/>
          <w:sz w:val="28"/>
          <w:szCs w:val="36"/>
        </w:rPr>
        <w:t>1小时内到达现场，如需增派支持人员，增派支持人员在</w:t>
      </w:r>
      <w:r>
        <w:rPr>
          <w:rFonts w:hint="eastAsia" w:ascii="仿宋" w:hAnsi="仿宋" w:eastAsia="仿宋" w:cs="仿宋"/>
          <w:sz w:val="28"/>
          <w:szCs w:val="36"/>
          <w:lang w:val="en-US" w:eastAsia="zh-CN"/>
        </w:rPr>
        <w:t>1</w:t>
      </w:r>
      <w:r>
        <w:rPr>
          <w:rFonts w:hint="eastAsia" w:ascii="仿宋" w:hAnsi="仿宋" w:eastAsia="仿宋" w:cs="仿宋"/>
          <w:sz w:val="28"/>
          <w:szCs w:val="36"/>
        </w:rPr>
        <w:t>小时内到达中标单位指定地点。</w:t>
      </w:r>
    </w:p>
    <w:p>
      <w:pPr>
        <w:keepNext w:val="0"/>
        <w:keepLines w:val="0"/>
        <w:pageBreakBefore w:val="0"/>
        <w:widowControl w:val="0"/>
        <w:kinsoku/>
        <w:wordWrap/>
        <w:overflowPunct/>
        <w:topLinePunct w:val="0"/>
        <w:autoSpaceDE/>
        <w:autoSpaceDN/>
        <w:bidi w:val="0"/>
        <w:adjustRightInd/>
        <w:snapToGrid/>
        <w:ind w:firstLine="422" w:firstLineChars="150"/>
        <w:jc w:val="center"/>
        <w:textAlignment w:val="auto"/>
        <w:rPr>
          <w:rFonts w:hint="eastAsia" w:ascii="仿宋" w:hAnsi="仿宋" w:eastAsia="仿宋" w:cs="仿宋"/>
          <w:b/>
          <w:bCs/>
          <w:sz w:val="28"/>
          <w:szCs w:val="36"/>
        </w:rPr>
      </w:pPr>
      <w:r>
        <w:rPr>
          <w:rFonts w:hint="eastAsia" w:ascii="仿宋" w:hAnsi="仿宋" w:eastAsia="仿宋" w:cs="仿宋"/>
          <w:b/>
          <w:bCs/>
          <w:sz w:val="28"/>
          <w:szCs w:val="36"/>
        </w:rPr>
        <w:t>设备故障的维修服务和线路损坏更换服务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设备损坏或线路损坏造成的故障，对维修的设备进行检测、拆卸、维修、调试属于正常维护保养范围；人为因素、第三方损坏和不可抗力造成的设备维修、更换则另行收费。</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若涉及到中标单位主动要求对设备做升级换代时，由此产生的系统及设备升级换代费用由中标单位另行支付，不计入本项目报价中。</w:t>
      </w:r>
    </w:p>
    <w:p>
      <w:pPr>
        <w:keepNext w:val="0"/>
        <w:keepLines w:val="0"/>
        <w:pageBreakBefore w:val="0"/>
        <w:widowControl w:val="0"/>
        <w:kinsoku/>
        <w:wordWrap/>
        <w:overflowPunct/>
        <w:topLinePunct w:val="0"/>
        <w:autoSpaceDE/>
        <w:autoSpaceDN/>
        <w:bidi w:val="0"/>
        <w:adjustRightInd/>
        <w:snapToGrid/>
        <w:ind w:firstLine="422" w:firstLineChars="150"/>
        <w:jc w:val="center"/>
        <w:textAlignment w:val="auto"/>
        <w:rPr>
          <w:rFonts w:hint="eastAsia" w:ascii="仿宋" w:hAnsi="仿宋" w:eastAsia="仿宋" w:cs="仿宋"/>
          <w:b/>
          <w:bCs/>
          <w:sz w:val="28"/>
          <w:szCs w:val="36"/>
        </w:rPr>
      </w:pPr>
      <w:r>
        <w:rPr>
          <w:rFonts w:hint="eastAsia" w:ascii="仿宋" w:hAnsi="仿宋" w:eastAsia="仿宋" w:cs="仿宋"/>
          <w:b/>
          <w:bCs/>
          <w:sz w:val="28"/>
          <w:szCs w:val="36"/>
        </w:rPr>
        <w:t>备品备件保障服务</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eastAsia" w:ascii="仿宋" w:hAnsi="仿宋" w:eastAsia="仿宋" w:cs="仿宋"/>
          <w:sz w:val="28"/>
          <w:szCs w:val="36"/>
        </w:rPr>
      </w:pPr>
      <w:r>
        <w:rPr>
          <w:rFonts w:hint="eastAsia" w:ascii="仿宋" w:hAnsi="仿宋" w:eastAsia="仿宋" w:cs="仿宋"/>
          <w:sz w:val="28"/>
          <w:szCs w:val="36"/>
        </w:rPr>
        <w:t>投标人应针对本项目维保服务在本地设立专门的备品备件库，满足系统维保期间硬件备件更换的需要。针对本项目，投标人需配备相应的备品、备件及清单明细以供采购人周期性检查。投标人为采购人提供部分重要设备的整机备机替换服务，在合同期设备可用于采购人设备的返厂维修期间的设备替换使用，设备维修结束后备机归还投标人。备品备件库应配备规范化的管理程序，以确保备品备件的齐全和质量要求。设备性能指标不能低于采购文件规定的技术参数要求（详见技术参数要求）：</w:t>
      </w:r>
    </w:p>
    <w:p>
      <w:pPr>
        <w:rPr>
          <w:rFonts w:hint="eastAsia" w:ascii="仿宋" w:hAnsi="仿宋" w:eastAsia="仿宋" w:cs="仿宋"/>
          <w:b/>
          <w:bCs/>
          <w:sz w:val="28"/>
          <w:szCs w:val="36"/>
        </w:rPr>
      </w:pPr>
      <w:r>
        <w:rPr>
          <w:rFonts w:hint="eastAsia" w:ascii="仿宋" w:hAnsi="仿宋" w:eastAsia="仿宋" w:cs="仿宋"/>
          <w:b/>
          <w:bCs/>
          <w:sz w:val="28"/>
          <w:szCs w:val="36"/>
          <w:lang w:val="en-US" w:eastAsia="zh-CN"/>
        </w:rPr>
        <w:t>四</w:t>
      </w:r>
      <w:r>
        <w:rPr>
          <w:rFonts w:hint="eastAsia" w:ascii="仿宋" w:hAnsi="仿宋" w:eastAsia="仿宋" w:cs="仿宋"/>
          <w:b/>
          <w:bCs/>
          <w:sz w:val="28"/>
          <w:szCs w:val="36"/>
        </w:rPr>
        <w:t>、服务及应急响应要求</w:t>
      </w:r>
    </w:p>
    <w:p>
      <w:pPr>
        <w:jc w:val="center"/>
        <w:rPr>
          <w:rFonts w:hint="eastAsia" w:ascii="仿宋" w:hAnsi="仿宋" w:eastAsia="仿宋" w:cs="仿宋"/>
          <w:b/>
          <w:bCs/>
          <w:sz w:val="28"/>
          <w:szCs w:val="36"/>
        </w:rPr>
      </w:pPr>
      <w:r>
        <w:rPr>
          <w:rFonts w:hint="eastAsia" w:ascii="仿宋" w:hAnsi="仿宋" w:eastAsia="仿宋" w:cs="仿宋"/>
          <w:b/>
          <w:bCs/>
          <w:sz w:val="28"/>
          <w:szCs w:val="36"/>
        </w:rPr>
        <w:t>现场维护</w:t>
      </w:r>
    </w:p>
    <w:p>
      <w:pPr>
        <w:rPr>
          <w:rFonts w:hint="eastAsia" w:ascii="仿宋" w:hAnsi="仿宋" w:eastAsia="仿宋" w:cs="仿宋"/>
          <w:sz w:val="28"/>
          <w:szCs w:val="36"/>
        </w:rPr>
      </w:pPr>
      <w:r>
        <w:rPr>
          <w:rFonts w:hint="eastAsia" w:ascii="仿宋" w:hAnsi="仿宋" w:eastAsia="仿宋" w:cs="仿宋"/>
          <w:sz w:val="28"/>
          <w:szCs w:val="36"/>
        </w:rPr>
        <w:t>1、为保障厦门市海沧医院智能化的硬件或软件服务，要求服务单位5*8小时现场驻点2名维护人员，一般故障报修后内到达现场排查问题，一般故障4小时内修复完毕；紧急情故障报修后1小时到达现场排查问题，紧急故障2小时内修复完毕。若修复不了的，需要第一时间告知中标单位并在承诺时间内修复完毕，否则按规定处罚。</w:t>
      </w:r>
    </w:p>
    <w:p>
      <w:pPr>
        <w:rPr>
          <w:rFonts w:hint="eastAsia" w:ascii="仿宋" w:hAnsi="仿宋" w:eastAsia="仿宋" w:cs="仿宋"/>
          <w:sz w:val="28"/>
          <w:szCs w:val="36"/>
        </w:rPr>
      </w:pPr>
      <w:r>
        <w:rPr>
          <w:rFonts w:hint="eastAsia" w:ascii="仿宋" w:hAnsi="仿宋" w:eastAsia="仿宋" w:cs="仿宋"/>
          <w:sz w:val="28"/>
          <w:szCs w:val="36"/>
        </w:rPr>
        <w:t>2、定期维护：每周巡查1次，检查设备工作状态，并用运维服务平台系统软件登记，需要采购人签字确认，否则按规定处罚。</w:t>
      </w:r>
    </w:p>
    <w:p>
      <w:pPr>
        <w:jc w:val="center"/>
        <w:rPr>
          <w:rFonts w:hint="eastAsia" w:ascii="仿宋" w:hAnsi="仿宋" w:eastAsia="仿宋" w:cs="仿宋"/>
          <w:b/>
          <w:bCs/>
          <w:sz w:val="28"/>
          <w:szCs w:val="36"/>
        </w:rPr>
      </w:pPr>
      <w:r>
        <w:rPr>
          <w:rFonts w:hint="eastAsia" w:ascii="仿宋" w:hAnsi="仿宋" w:eastAsia="仿宋" w:cs="仿宋"/>
          <w:b/>
          <w:bCs/>
          <w:sz w:val="28"/>
          <w:szCs w:val="36"/>
        </w:rPr>
        <w:t>责任工程师制度</w:t>
      </w:r>
    </w:p>
    <w:p>
      <w:pPr>
        <w:rPr>
          <w:rFonts w:hint="eastAsia" w:ascii="仿宋" w:hAnsi="仿宋" w:eastAsia="仿宋" w:cs="仿宋"/>
          <w:sz w:val="28"/>
          <w:szCs w:val="36"/>
        </w:rPr>
      </w:pPr>
      <w:r>
        <w:rPr>
          <w:rFonts w:hint="eastAsia" w:ascii="仿宋" w:hAnsi="仿宋" w:eastAsia="仿宋" w:cs="仿宋"/>
          <w:sz w:val="28"/>
          <w:szCs w:val="36"/>
        </w:rPr>
        <w:t>中标单位要为该项目配备专职维保服务经理及专职维保责任工程师，责任工程师根据不同的分工，对所负责的各系统要有深入的了解。为采购人提供责任工程师的移动电话和私人联系电话，每周七天24小时响应采购人的服务请求，并定期对维保点进行巡访，了解采购人的使用情况和所需要配合的地方，了解采购人最新需求和现场最新情况，记录存档。</w:t>
      </w:r>
    </w:p>
    <w:p>
      <w:pPr>
        <w:rPr>
          <w:rFonts w:hint="eastAsia" w:ascii="仿宋" w:hAnsi="仿宋" w:eastAsia="仿宋" w:cs="仿宋"/>
          <w:sz w:val="28"/>
          <w:szCs w:val="36"/>
        </w:rPr>
      </w:pPr>
      <w:r>
        <w:rPr>
          <w:rFonts w:hint="eastAsia" w:ascii="仿宋" w:hAnsi="仿宋" w:eastAsia="仿宋" w:cs="仿宋"/>
          <w:sz w:val="28"/>
          <w:szCs w:val="36"/>
        </w:rPr>
        <w:t>维护人员在系统开始正式运行后，质保期内应提供系统现场的技术支持服务，责任工程师要提供远程技术服务，以便随时解决系统出现的问题。</w:t>
      </w:r>
    </w:p>
    <w:p>
      <w:pPr>
        <w:jc w:val="center"/>
        <w:rPr>
          <w:rFonts w:hint="eastAsia" w:ascii="仿宋" w:hAnsi="仿宋" w:eastAsia="仿宋" w:cs="仿宋"/>
          <w:b/>
          <w:bCs/>
          <w:sz w:val="28"/>
          <w:szCs w:val="36"/>
        </w:rPr>
      </w:pPr>
      <w:r>
        <w:rPr>
          <w:rFonts w:hint="eastAsia" w:ascii="仿宋" w:hAnsi="仿宋" w:eastAsia="仿宋" w:cs="仿宋"/>
          <w:b/>
          <w:bCs/>
          <w:sz w:val="28"/>
          <w:szCs w:val="36"/>
        </w:rPr>
        <w:t>维修备件管理</w:t>
      </w:r>
    </w:p>
    <w:p>
      <w:pPr>
        <w:rPr>
          <w:rFonts w:hint="eastAsia" w:ascii="仿宋" w:hAnsi="仿宋" w:eastAsia="仿宋" w:cs="仿宋"/>
          <w:sz w:val="28"/>
          <w:szCs w:val="36"/>
        </w:rPr>
      </w:pPr>
      <w:r>
        <w:rPr>
          <w:rFonts w:hint="eastAsia" w:ascii="仿宋" w:hAnsi="仿宋" w:eastAsia="仿宋" w:cs="仿宋"/>
          <w:sz w:val="28"/>
          <w:szCs w:val="36"/>
        </w:rPr>
        <w:t>为保证项目实时提供代用设备，保证系统安全可靠运行。多数设备故障依赖于各种设备的备件供给情况，因此对一些关键设备必须配备备用设备，保证采购人的系统运行在单点设备故障时不受影响。对于某些紧急情况，不能等待更换设备或备件，将直接提供临时替换设备，以维持系统的正常运行。</w:t>
      </w:r>
    </w:p>
    <w:p>
      <w:pPr>
        <w:jc w:val="center"/>
        <w:rPr>
          <w:rFonts w:hint="eastAsia" w:ascii="仿宋" w:hAnsi="仿宋" w:eastAsia="仿宋" w:cs="仿宋"/>
          <w:b/>
          <w:bCs/>
          <w:sz w:val="28"/>
          <w:szCs w:val="36"/>
        </w:rPr>
      </w:pPr>
      <w:r>
        <w:rPr>
          <w:rFonts w:hint="eastAsia" w:ascii="仿宋" w:hAnsi="仿宋" w:eastAsia="仿宋" w:cs="仿宋"/>
          <w:b/>
          <w:bCs/>
          <w:sz w:val="28"/>
          <w:szCs w:val="36"/>
        </w:rPr>
        <w:t>维保队伍建设</w:t>
      </w:r>
    </w:p>
    <w:p>
      <w:pPr>
        <w:rPr>
          <w:rFonts w:hint="eastAsia" w:ascii="仿宋" w:hAnsi="仿宋" w:eastAsia="仿宋" w:cs="仿宋"/>
          <w:sz w:val="28"/>
          <w:szCs w:val="36"/>
        </w:rPr>
      </w:pPr>
      <w:r>
        <w:rPr>
          <w:rFonts w:hint="eastAsia" w:ascii="仿宋" w:hAnsi="仿宋" w:eastAsia="仿宋" w:cs="仿宋"/>
          <w:sz w:val="28"/>
          <w:szCs w:val="36"/>
        </w:rPr>
        <w:t>为保障该项目的维修工作，投标单位必须在本地或在本地注册分公司或者办事处。</w:t>
      </w:r>
    </w:p>
    <w:p>
      <w:pPr>
        <w:jc w:val="center"/>
        <w:rPr>
          <w:rFonts w:hint="eastAsia" w:ascii="仿宋" w:hAnsi="仿宋" w:eastAsia="仿宋" w:cs="仿宋"/>
          <w:b/>
          <w:bCs/>
          <w:sz w:val="28"/>
          <w:szCs w:val="36"/>
        </w:rPr>
      </w:pPr>
      <w:r>
        <w:rPr>
          <w:rFonts w:hint="eastAsia" w:ascii="仿宋" w:hAnsi="仿宋" w:eastAsia="仿宋" w:cs="仿宋"/>
          <w:b/>
          <w:bCs/>
          <w:sz w:val="28"/>
          <w:szCs w:val="36"/>
        </w:rPr>
        <w:t>建立完善的维护保养手册</w:t>
      </w:r>
    </w:p>
    <w:p>
      <w:pPr>
        <w:rPr>
          <w:rFonts w:hint="eastAsia" w:ascii="仿宋" w:hAnsi="仿宋" w:eastAsia="仿宋" w:cs="仿宋"/>
          <w:sz w:val="28"/>
          <w:szCs w:val="36"/>
        </w:rPr>
      </w:pPr>
      <w:r>
        <w:rPr>
          <w:rFonts w:hint="eastAsia" w:ascii="仿宋" w:hAnsi="仿宋" w:eastAsia="仿宋" w:cs="仿宋"/>
          <w:sz w:val="28"/>
          <w:szCs w:val="36"/>
        </w:rPr>
        <w:t>需要为本项目建立一个完善的维护保养手册。对每个子系统的设备操作运行和维护保养都做详细的说明，制定设备更换部件的程序和要求；注明系统操作运行和维护保养操作程序时应注意的事项；列明详细的零部件表。</w:t>
      </w:r>
    </w:p>
    <w:p>
      <w:pPr>
        <w:rPr>
          <w:rFonts w:hint="eastAsia" w:ascii="仿宋" w:hAnsi="仿宋" w:eastAsia="仿宋" w:cs="仿宋"/>
          <w:sz w:val="28"/>
          <w:szCs w:val="36"/>
        </w:rPr>
      </w:pPr>
      <w:r>
        <w:rPr>
          <w:rFonts w:hint="eastAsia" w:ascii="仿宋" w:hAnsi="仿宋" w:eastAsia="仿宋" w:cs="仿宋"/>
          <w:sz w:val="28"/>
          <w:szCs w:val="36"/>
        </w:rPr>
        <w:t>需要提供完善的维修保养记录书，详细记录有关设备的维修保养、部件更换次数、检查及维修日期等记录。</w:t>
      </w:r>
    </w:p>
    <w:p>
      <w:pPr>
        <w:jc w:val="center"/>
        <w:rPr>
          <w:rFonts w:hint="eastAsia" w:ascii="仿宋" w:hAnsi="仿宋" w:eastAsia="仿宋" w:cs="仿宋"/>
          <w:b/>
          <w:bCs/>
          <w:sz w:val="28"/>
          <w:szCs w:val="36"/>
        </w:rPr>
      </w:pPr>
      <w:r>
        <w:rPr>
          <w:rFonts w:hint="eastAsia" w:ascii="仿宋" w:hAnsi="仿宋" w:eastAsia="仿宋" w:cs="仿宋"/>
          <w:b/>
          <w:bCs/>
          <w:sz w:val="28"/>
          <w:szCs w:val="36"/>
        </w:rPr>
        <w:t>日常维护服务</w:t>
      </w:r>
    </w:p>
    <w:p>
      <w:pPr>
        <w:rPr>
          <w:rFonts w:hint="eastAsia" w:ascii="仿宋" w:hAnsi="仿宋" w:eastAsia="仿宋" w:cs="仿宋"/>
          <w:sz w:val="28"/>
          <w:szCs w:val="36"/>
        </w:rPr>
      </w:pPr>
      <w:r>
        <w:rPr>
          <w:rFonts w:hint="eastAsia" w:ascii="仿宋" w:hAnsi="仿宋" w:eastAsia="仿宋" w:cs="仿宋"/>
          <w:sz w:val="28"/>
          <w:szCs w:val="36"/>
        </w:rPr>
        <w:t>为此项目设有专门的维保维修技术支持组，并将指派有经验的工程师随时为采购人提供技术咨询及支持，并承担由此产生的一切费用。</w:t>
      </w:r>
    </w:p>
    <w:p>
      <w:pPr>
        <w:rPr>
          <w:rFonts w:hint="eastAsia" w:ascii="仿宋" w:hAnsi="仿宋" w:eastAsia="仿宋" w:cs="仿宋"/>
          <w:sz w:val="28"/>
          <w:szCs w:val="36"/>
        </w:rPr>
      </w:pPr>
      <w:r>
        <w:rPr>
          <w:rFonts w:hint="eastAsia" w:ascii="仿宋" w:hAnsi="仿宋" w:eastAsia="仿宋" w:cs="仿宋"/>
          <w:sz w:val="28"/>
          <w:szCs w:val="36"/>
        </w:rPr>
        <w:t>日常维修服务主要是针对采购人现场设备由于产品质量原因、使用不当或外界原因造成的意外事故进行故障诊断，排除软硬件故障或更换故障设备，使系统在尽可能短的时间内恢复正常运行。</w:t>
      </w:r>
    </w:p>
    <w:p>
      <w:pPr>
        <w:rPr>
          <w:rFonts w:hint="eastAsia" w:ascii="仿宋" w:hAnsi="仿宋" w:eastAsia="仿宋" w:cs="仿宋"/>
          <w:sz w:val="28"/>
          <w:szCs w:val="36"/>
        </w:rPr>
      </w:pPr>
      <w:r>
        <w:rPr>
          <w:rFonts w:hint="eastAsia" w:ascii="仿宋" w:hAnsi="仿宋" w:eastAsia="仿宋" w:cs="仿宋"/>
          <w:sz w:val="28"/>
          <w:szCs w:val="36"/>
        </w:rPr>
        <w:t>当系统软硬件发生故障时，维护人员在接到通知后，务必在内达到现场进行检测、维修，4小时内排除故障，恢复系统的正常运行，并在每次维修后出具详细的维修记录、原因分析、测试报告和合理化建议等。</w:t>
      </w:r>
    </w:p>
    <w:p>
      <w:pPr>
        <w:rPr>
          <w:rFonts w:hint="eastAsia" w:ascii="仿宋" w:hAnsi="仿宋" w:eastAsia="仿宋" w:cs="仿宋"/>
          <w:sz w:val="28"/>
          <w:szCs w:val="36"/>
        </w:rPr>
      </w:pPr>
      <w:r>
        <w:rPr>
          <w:rFonts w:hint="eastAsia" w:ascii="仿宋" w:hAnsi="仿宋" w:eastAsia="仿宋" w:cs="仿宋"/>
          <w:sz w:val="28"/>
          <w:szCs w:val="36"/>
        </w:rPr>
        <w:t>如果系统故障在短时间内无法排除，中标单位应及时提供相应备件或替代设备，及时恢复系统的运行。</w:t>
      </w:r>
    </w:p>
    <w:p>
      <w:pPr>
        <w:jc w:val="center"/>
        <w:rPr>
          <w:rFonts w:hint="eastAsia" w:ascii="仿宋" w:hAnsi="仿宋" w:eastAsia="仿宋" w:cs="仿宋"/>
          <w:b/>
          <w:bCs/>
          <w:sz w:val="28"/>
          <w:szCs w:val="36"/>
        </w:rPr>
      </w:pPr>
      <w:r>
        <w:rPr>
          <w:rFonts w:hint="eastAsia" w:ascii="仿宋" w:hAnsi="仿宋" w:eastAsia="仿宋" w:cs="仿宋"/>
          <w:b/>
          <w:bCs/>
          <w:sz w:val="28"/>
          <w:szCs w:val="36"/>
        </w:rPr>
        <w:t>例行巡检服务</w:t>
      </w:r>
    </w:p>
    <w:p>
      <w:pPr>
        <w:rPr>
          <w:rFonts w:hint="eastAsia" w:ascii="仿宋" w:hAnsi="仿宋" w:eastAsia="仿宋" w:cs="仿宋"/>
          <w:sz w:val="28"/>
          <w:szCs w:val="36"/>
        </w:rPr>
      </w:pPr>
      <w:r>
        <w:rPr>
          <w:rFonts w:hint="eastAsia" w:ascii="仿宋" w:hAnsi="仿宋" w:eastAsia="仿宋" w:cs="仿宋"/>
          <w:sz w:val="28"/>
          <w:szCs w:val="36"/>
        </w:rPr>
        <w:t>中标单位需要在保修期内每月提供1次巡检服务。巡检内容如下：</w:t>
      </w:r>
    </w:p>
    <w:p>
      <w:pPr>
        <w:rPr>
          <w:rFonts w:hint="eastAsia" w:ascii="仿宋" w:hAnsi="仿宋" w:eastAsia="仿宋" w:cs="仿宋"/>
          <w:sz w:val="28"/>
          <w:szCs w:val="36"/>
        </w:rPr>
      </w:pPr>
      <w:r>
        <w:rPr>
          <w:rFonts w:hint="eastAsia" w:ascii="仿宋" w:hAnsi="仿宋" w:eastAsia="仿宋" w:cs="仿宋"/>
          <w:sz w:val="28"/>
          <w:szCs w:val="36"/>
        </w:rPr>
        <w:t>接线端子、电缆接插件的检查及紧固，通讯线路、线缆整理及检测；</w:t>
      </w:r>
    </w:p>
    <w:p>
      <w:pPr>
        <w:rPr>
          <w:rFonts w:hint="eastAsia" w:ascii="仿宋" w:hAnsi="仿宋" w:eastAsia="仿宋" w:cs="仿宋"/>
          <w:sz w:val="28"/>
          <w:szCs w:val="36"/>
        </w:rPr>
      </w:pPr>
      <w:r>
        <w:rPr>
          <w:rFonts w:hint="eastAsia" w:ascii="仿宋" w:hAnsi="仿宋" w:eastAsia="仿宋" w:cs="仿宋"/>
          <w:sz w:val="28"/>
          <w:szCs w:val="36"/>
        </w:rPr>
        <w:t>现场设备的安装牢固程度检查；</w:t>
      </w:r>
    </w:p>
    <w:p>
      <w:pPr>
        <w:rPr>
          <w:rFonts w:hint="eastAsia" w:ascii="仿宋" w:hAnsi="仿宋" w:eastAsia="仿宋" w:cs="仿宋"/>
          <w:sz w:val="28"/>
          <w:szCs w:val="36"/>
          <w:lang w:eastAsia="zh-CN"/>
        </w:rPr>
      </w:pPr>
      <w:r>
        <w:rPr>
          <w:rFonts w:hint="eastAsia" w:ascii="仿宋" w:hAnsi="仿宋" w:eastAsia="仿宋" w:cs="仿宋"/>
          <w:sz w:val="28"/>
          <w:szCs w:val="36"/>
        </w:rPr>
        <w:t>硬件设备自检、设备运行状况检测及校正</w:t>
      </w:r>
      <w:r>
        <w:rPr>
          <w:rFonts w:hint="eastAsia" w:ascii="仿宋" w:hAnsi="仿宋" w:eastAsia="仿宋" w:cs="仿宋"/>
          <w:sz w:val="28"/>
          <w:szCs w:val="36"/>
          <w:lang w:eastAsia="zh-CN"/>
        </w:rPr>
        <w:t>，</w:t>
      </w:r>
      <w:r>
        <w:rPr>
          <w:rFonts w:hint="eastAsia" w:ascii="仿宋" w:hAnsi="仿宋" w:eastAsia="仿宋" w:cs="仿宋"/>
          <w:sz w:val="28"/>
          <w:szCs w:val="36"/>
        </w:rPr>
        <w:t>系统运行环境检查，系统运行性能、状态分析、检查及优化调整</w:t>
      </w:r>
      <w:r>
        <w:rPr>
          <w:rFonts w:hint="eastAsia" w:ascii="仿宋" w:hAnsi="仿宋" w:eastAsia="仿宋" w:cs="仿宋"/>
          <w:sz w:val="28"/>
          <w:szCs w:val="36"/>
          <w:lang w:eastAsia="zh-CN"/>
        </w:rPr>
        <w:t>。</w:t>
      </w:r>
    </w:p>
    <w:p>
      <w:pPr>
        <w:rPr>
          <w:rFonts w:hint="eastAsia" w:ascii="仿宋" w:hAnsi="仿宋" w:eastAsia="仿宋" w:cs="仿宋"/>
          <w:sz w:val="28"/>
          <w:szCs w:val="36"/>
          <w:lang w:eastAsia="zh-CN"/>
        </w:rPr>
      </w:pPr>
    </w:p>
    <w:p>
      <w:pPr>
        <w:rPr>
          <w:rFonts w:hint="eastAsia" w:ascii="仿宋" w:hAnsi="仿宋" w:eastAsia="仿宋" w:cs="仿宋"/>
          <w:sz w:val="28"/>
          <w:szCs w:val="36"/>
          <w:lang w:eastAsia="zh-CN"/>
        </w:rPr>
      </w:pPr>
    </w:p>
    <w:p>
      <w:pPr>
        <w:rPr>
          <w:rFonts w:hint="eastAsia" w:ascii="仿宋" w:hAnsi="仿宋" w:eastAsia="仿宋" w:cs="仿宋"/>
          <w:sz w:val="28"/>
          <w:szCs w:val="36"/>
          <w:lang w:eastAsia="zh-CN"/>
        </w:rPr>
      </w:pPr>
    </w:p>
    <w:p>
      <w:pPr>
        <w:rPr>
          <w:rFonts w:hint="eastAsia" w:ascii="仿宋" w:hAnsi="仿宋" w:eastAsia="仿宋" w:cs="仿宋"/>
          <w:sz w:val="28"/>
          <w:szCs w:val="36"/>
          <w:lang w:eastAsia="zh-CN"/>
        </w:rPr>
      </w:pPr>
    </w:p>
    <w:p>
      <w:pPr>
        <w:jc w:val="righ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厦门医学院附属海沧医院</w:t>
      </w:r>
    </w:p>
    <w:p>
      <w:pPr>
        <w:rPr>
          <w:rFonts w:hint="default" w:ascii="仿宋" w:hAnsi="仿宋" w:eastAsia="仿宋" w:cs="仿宋"/>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YTcyZmNkMGZkZTU2NjQ2ZjM3MGJiZmVmZDkxYWIifQ=="/>
  </w:docVars>
  <w:rsids>
    <w:rsidRoot w:val="201436E2"/>
    <w:rsid w:val="20143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9328</Words>
  <Characters>9582</Characters>
  <Lines>0</Lines>
  <Paragraphs>0</Paragraphs>
  <TotalTime>9</TotalTime>
  <ScaleCrop>false</ScaleCrop>
  <LinksUpToDate>false</LinksUpToDate>
  <CharactersWithSpaces>10022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2023-08-09T12:47:00Z</dcterms:created>
  <dc:creator>WPS_1666768551</dc:creator>
  <cp:lastModifiedBy>WPS_1666768551</cp:lastModifiedBy>
  <dcterms:modified xsi:type="dcterms:W3CDTF">2023-08-09T13:02:57Z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2DB19D98C1BA4CD996A7C41CE9FDE8DE_11</vt:lpwstr>
  </property>
</Properties>
</file>