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both"/>
        <w:rPr>
          <w:rFonts w:hint="eastAsia" w:ascii="宋体" w:hAnsi="宋体" w:eastAsia="宋体" w:cstheme="minorBidi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厦门市</w:t>
      </w:r>
      <w:r>
        <w:rPr>
          <w:rFonts w:hint="eastAsia" w:ascii="宋体" w:hAnsi="宋体" w:eastAsia="宋体"/>
          <w:sz w:val="32"/>
          <w:szCs w:val="32"/>
        </w:rPr>
        <w:t>海沧医院网络安全建设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2023年项目</w:t>
      </w:r>
      <w:r>
        <w:rPr>
          <w:rFonts w:hint="eastAsia" w:ascii="宋体" w:hAnsi="宋体" w:eastAsia="宋体" w:cstheme="minorBidi"/>
          <w:b/>
          <w:bCs/>
          <w:kern w:val="44"/>
          <w:sz w:val="32"/>
          <w:szCs w:val="32"/>
          <w:lang w:val="en-US" w:eastAsia="zh-CN" w:bidi="ar-SA"/>
        </w:rPr>
        <w:t>（防火墙、网闸）</w:t>
      </w:r>
      <w:bookmarkStart w:id="0" w:name="_GoBack"/>
      <w:bookmarkEnd w:id="0"/>
    </w:p>
    <w:p>
      <w:pPr>
        <w:pStyle w:val="3"/>
        <w:spacing w:line="360" w:lineRule="auto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设备清单</w:t>
      </w:r>
    </w:p>
    <w:tbl>
      <w:tblPr>
        <w:tblStyle w:val="8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627"/>
        <w:gridCol w:w="2465"/>
        <w:gridCol w:w="2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技术参数要求</w:t>
            </w:r>
          </w:p>
        </w:tc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网闸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具体参数要求如下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搬迁、割接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防火墙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具体参数要求如下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搬迁、割接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2台</w:t>
            </w:r>
          </w:p>
        </w:tc>
      </w:tr>
    </w:tbl>
    <w:p>
      <w:pPr>
        <w:pStyle w:val="3"/>
        <w:numPr>
          <w:ilvl w:val="0"/>
          <w:numId w:val="1"/>
        </w:num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技术参数及要求</w:t>
      </w:r>
    </w:p>
    <w:p>
      <w:pPr>
        <w:pStyle w:val="3"/>
        <w:numPr>
          <w:ilvl w:val="0"/>
          <w:numId w:val="0"/>
        </w:numPr>
        <w:spacing w:line="360" w:lineRule="auto"/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网闸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Helvetica"/>
          <w:color w:val="393939"/>
          <w:kern w:val="0"/>
          <w:sz w:val="20"/>
          <w:szCs w:val="20"/>
        </w:rPr>
        <w:t>▲</w:t>
      </w:r>
      <w:r>
        <w:rPr>
          <w:rFonts w:hint="eastAsia" w:ascii="宋体" w:hAnsi="宋体" w:eastAsia="宋体"/>
          <w:szCs w:val="21"/>
        </w:rPr>
        <w:t>标准</w:t>
      </w:r>
      <w:r>
        <w:rPr>
          <w:rFonts w:ascii="宋体" w:hAnsi="宋体" w:eastAsia="宋体"/>
          <w:szCs w:val="21"/>
        </w:rPr>
        <w:t>2U机架式设备;</w:t>
      </w:r>
      <w:r>
        <w:rPr>
          <w:rFonts w:hint="eastAsia" w:ascii="宋体" w:hAnsi="宋体" w:eastAsia="宋体"/>
          <w:szCs w:val="21"/>
        </w:rPr>
        <w:t>内端机</w:t>
      </w:r>
      <w:r>
        <w:rPr>
          <w:rFonts w:ascii="宋体" w:hAnsi="宋体" w:eastAsia="宋体"/>
          <w:szCs w:val="21"/>
        </w:rPr>
        <w:t>9个千兆电口、1个控制口、2个USB接口、3个扩展槽；</w:t>
      </w:r>
      <w:r>
        <w:rPr>
          <w:rFonts w:hint="eastAsia" w:ascii="宋体" w:hAnsi="宋体" w:eastAsia="宋体"/>
          <w:szCs w:val="21"/>
        </w:rPr>
        <w:t>外端机</w:t>
      </w:r>
      <w:r>
        <w:rPr>
          <w:rFonts w:ascii="宋体" w:hAnsi="宋体" w:eastAsia="宋体"/>
          <w:szCs w:val="21"/>
        </w:rPr>
        <w:t>9个千兆电口、1个控制口、2个USB接口、3个扩展槽；</w:t>
      </w:r>
      <w:r>
        <w:rPr>
          <w:rFonts w:hint="eastAsia" w:ascii="宋体" w:hAnsi="宋体" w:eastAsia="宋体"/>
          <w:szCs w:val="21"/>
        </w:rPr>
        <w:t>整机可支持≥</w:t>
      </w:r>
      <w:r>
        <w:rPr>
          <w:rFonts w:ascii="宋体" w:hAnsi="宋体" w:eastAsia="宋体"/>
          <w:szCs w:val="21"/>
        </w:rPr>
        <w:t>66个千兆接口</w:t>
      </w:r>
      <w:r>
        <w:rPr>
          <w:rFonts w:hint="eastAsia" w:ascii="宋体" w:hAnsi="宋体" w:eastAsia="宋体"/>
          <w:szCs w:val="21"/>
        </w:rPr>
        <w:t>；网络吞吐≥</w:t>
      </w:r>
      <w:r>
        <w:rPr>
          <w:rFonts w:ascii="宋体" w:hAnsi="宋体" w:eastAsia="宋体"/>
          <w:szCs w:val="21"/>
        </w:rPr>
        <w:t>1.8Gbps；</w:t>
      </w:r>
      <w:r>
        <w:rPr>
          <w:rFonts w:hint="eastAsia" w:ascii="宋体" w:hAnsi="宋体" w:eastAsia="宋体"/>
          <w:szCs w:val="21"/>
        </w:rPr>
        <w:t>最大并发连接数</w:t>
      </w:r>
      <w:r>
        <w:rPr>
          <w:rFonts w:ascii="宋体" w:hAnsi="宋体" w:eastAsia="宋体"/>
          <w:szCs w:val="21"/>
        </w:rPr>
        <w:t>: 300,000;</w:t>
      </w:r>
      <w:r>
        <w:rPr>
          <w:rFonts w:hint="eastAsia" w:ascii="宋体" w:hAnsi="宋体" w:eastAsia="宋体"/>
          <w:szCs w:val="21"/>
        </w:rPr>
        <w:t>无用户数限制。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采用2+1系统架构即由内网单元、外网单元及安全数据交换单元三个物理部件组成。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支持访问控制，对象包括：源地址、目标地址、应用、时间、并发数等；支持内容关键字、文件类型过滤；支持病毒检测功能。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支持设备配置的导入、导出、备份还原功能；支持自动备份功能，会自动备份配置并上传到服务器。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支持ping、traceroute、telnet、抓包等工具方便排查故障。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具有完整的审计日志：系统日志、管理日志、访问日志、攻击日志、内容过滤日志、文件交换日志、数据库交换日志；日志支持SYSLOG外传。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Helvetica"/>
          <w:color w:val="393939"/>
          <w:kern w:val="0"/>
          <w:sz w:val="20"/>
          <w:szCs w:val="20"/>
        </w:rPr>
        <w:t>▲</w:t>
      </w:r>
      <w:r>
        <w:rPr>
          <w:rFonts w:ascii="宋体" w:hAnsi="宋体" w:eastAsia="宋体"/>
          <w:szCs w:val="21"/>
        </w:rPr>
        <w:t>设备支持透明、代理、路由、WEB代理工作模式，可设定安全通道的传输方向</w:t>
      </w:r>
      <w:r>
        <w:rPr>
          <w:rFonts w:hint="eastAsia" w:ascii="宋体" w:hAnsi="宋体" w:eastAsia="宋体" w:cs="等线"/>
          <w:b/>
          <w:bCs/>
          <w:kern w:val="0"/>
          <w:szCs w:val="21"/>
        </w:rPr>
        <w:t>。（提供截图）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Helvetica"/>
          <w:color w:val="393939"/>
          <w:kern w:val="0"/>
          <w:sz w:val="20"/>
          <w:szCs w:val="20"/>
        </w:rPr>
        <w:t>▲</w:t>
      </w:r>
      <w:r>
        <w:rPr>
          <w:rFonts w:hint="eastAsia" w:ascii="宋体" w:hAnsi="宋体" w:eastAsia="宋体"/>
          <w:szCs w:val="21"/>
        </w:rPr>
        <w:t>设备内置各类常用应用支持模块，内置的应用至少包含HTTP、SSL、FTP、POP3、SMTP、FTP、SMB、MYSQL、SQL、ORACLE；可根据应用协议的命令、动作、参数进行控制；支持自定义应用，支持应用组，支持根据应用启停日志记录功能。</w:t>
      </w:r>
      <w:r>
        <w:rPr>
          <w:rFonts w:hint="eastAsia" w:ascii="宋体" w:hAnsi="宋体" w:eastAsia="宋体"/>
          <w:b/>
          <w:bCs/>
          <w:szCs w:val="21"/>
        </w:rPr>
        <w:t>（提供界面截图）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Helvetica"/>
          <w:b/>
          <w:bCs/>
          <w:color w:val="393939"/>
          <w:kern w:val="0"/>
          <w:sz w:val="29"/>
          <w:szCs w:val="29"/>
        </w:rPr>
      </w:pPr>
      <w:r>
        <w:rPr>
          <w:rFonts w:hint="eastAsia" w:ascii="宋体" w:hAnsi="宋体" w:eastAsia="宋体" w:cs="Helvetica"/>
          <w:color w:val="393939"/>
          <w:kern w:val="0"/>
          <w:szCs w:val="21"/>
        </w:rPr>
        <w:t>▲</w:t>
      </w:r>
      <w:r>
        <w:rPr>
          <w:rFonts w:ascii="宋体" w:hAnsi="宋体" w:eastAsia="宋体"/>
          <w:szCs w:val="21"/>
        </w:rPr>
        <w:t>内置视频交换功能，支持平台级联和视频点播两种模式；支持海康、华为、华三、大华、公安一所、科达等多个视频厂商；可根据视频信令进行控制</w:t>
      </w:r>
      <w:r>
        <w:rPr>
          <w:rFonts w:hint="eastAsia" w:ascii="宋体" w:hAnsi="宋体" w:eastAsia="宋体" w:cs="等线"/>
          <w:kern w:val="0"/>
          <w:szCs w:val="21"/>
        </w:rPr>
        <w:t>（</w:t>
      </w:r>
      <w:r>
        <w:rPr>
          <w:rFonts w:hint="eastAsia" w:ascii="宋体" w:hAnsi="宋体" w:eastAsia="宋体" w:cs="等线"/>
          <w:b/>
          <w:bCs/>
          <w:kern w:val="0"/>
          <w:szCs w:val="21"/>
        </w:rPr>
        <w:t>提供产品功能界面截图）。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szCs w:val="21"/>
        </w:rPr>
        <w:t>设备自身支持数据库应用同步功能，无需另装同步软件；支持ORACLE、SQLSERVER、MYSQL、SYBASE、DB2、POSTGRESQL等多种主流数据库的同步，支持国产达梦数据库、人大金仓数据库的同步</w:t>
      </w:r>
      <w:r>
        <w:rPr>
          <w:rFonts w:hint="eastAsia" w:ascii="宋体" w:hAnsi="宋体" w:eastAsia="宋体" w:cs="等线"/>
          <w:kern w:val="0"/>
          <w:szCs w:val="21"/>
        </w:rPr>
        <w:t>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 w:cs="Helvetica"/>
          <w:color w:val="393939"/>
          <w:kern w:val="0"/>
          <w:sz w:val="20"/>
          <w:szCs w:val="20"/>
        </w:rPr>
        <w:t>▲</w:t>
      </w:r>
      <w:r>
        <w:rPr>
          <w:rFonts w:hint="eastAsia" w:ascii="宋体" w:hAnsi="宋体" w:eastAsia="宋体"/>
          <w:szCs w:val="21"/>
        </w:rPr>
        <w:t>支持数据库应用代理访问，支持的数据库种类包括ORACLE、SQLSERVER、MYSQL、SYBASE等主流数据库；可根据SQL命令进行控制，如不允许DELETE等。</w:t>
      </w:r>
      <w:r>
        <w:rPr>
          <w:rFonts w:hint="eastAsia" w:ascii="宋体" w:hAnsi="宋体" w:eastAsia="宋体"/>
          <w:b/>
          <w:bCs/>
          <w:szCs w:val="21"/>
        </w:rPr>
        <w:t>（提供界面截图）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设备自身支持文件同步功能，无需另装同步软件；支持单、双向同步；支持文件类型过滤；支持同步备份功能</w:t>
      </w:r>
      <w:r>
        <w:rPr>
          <w:rFonts w:hint="eastAsia" w:ascii="宋体" w:hAnsi="宋体" w:eastAsia="宋体" w:cs="等线"/>
          <w:b/>
          <w:bCs/>
          <w:kern w:val="0"/>
          <w:szCs w:val="21"/>
        </w:rPr>
        <w:t>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等线"/>
          <w:b/>
          <w:bCs/>
          <w:kern w:val="0"/>
          <w:szCs w:val="21"/>
        </w:rPr>
      </w:pPr>
      <w:r>
        <w:rPr>
          <w:rFonts w:ascii="宋体" w:hAnsi="宋体" w:eastAsia="宋体"/>
          <w:szCs w:val="21"/>
        </w:rPr>
        <w:t>支持工业应用协议交换，支持的协议至少包含MODUS、OPC、DNP3、S7等，对这些协议能进行应用指令控制，而并非只是开放端口，如只能读取，不能写入</w:t>
      </w:r>
      <w:r>
        <w:rPr>
          <w:rFonts w:hint="eastAsia" w:ascii="宋体" w:hAnsi="宋体" w:eastAsia="宋体" w:cs="等线"/>
          <w:b/>
          <w:bCs/>
          <w:kern w:val="0"/>
          <w:szCs w:val="21"/>
        </w:rPr>
        <w:t>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支持根据时间模式配置交换策略，时间模式支持指定时间、指定星期，指定日期范围。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支持双机热备；支持网口负载均衡，具有负载、主备等多种算法</w:t>
      </w:r>
      <w:r>
        <w:rPr>
          <w:rFonts w:hint="eastAsia" w:ascii="宋体" w:hAnsi="宋体" w:eastAsia="宋体" w:cs="等线"/>
          <w:b/>
          <w:bCs/>
          <w:kern w:val="0"/>
          <w:szCs w:val="21"/>
        </w:rPr>
        <w:t>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包含</w:t>
      </w:r>
      <w:r>
        <w:rPr>
          <w:rFonts w:hint="eastAsia" w:ascii="宋体" w:hAnsi="宋体" w:eastAsia="宋体"/>
          <w:szCs w:val="21"/>
        </w:rPr>
        <w:t>≥</w:t>
      </w:r>
      <w:r>
        <w:rPr>
          <w:rFonts w:ascii="宋体" w:hAnsi="宋体" w:eastAsia="宋体"/>
          <w:szCs w:val="21"/>
        </w:rPr>
        <w:t>6年硬件维保服务</w:t>
      </w:r>
      <w:r>
        <w:rPr>
          <w:rFonts w:hint="eastAsia" w:ascii="宋体" w:hAnsi="宋体" w:eastAsia="宋体"/>
          <w:szCs w:val="21"/>
        </w:rPr>
        <w:t>。</w:t>
      </w:r>
    </w:p>
    <w:p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提供现场安装、培训，7*24小时远程技术支持，1小时内网络安全事件现场应急技术支撑，备用机服务</w:t>
      </w:r>
      <w:r>
        <w:rPr>
          <w:rFonts w:hint="eastAsia" w:ascii="宋体" w:hAnsi="宋体" w:eastAsia="宋体"/>
          <w:szCs w:val="21"/>
        </w:rPr>
        <w:t>。</w:t>
      </w:r>
    </w:p>
    <w:p>
      <w:pPr>
        <w:pStyle w:val="3"/>
        <w:spacing w:line="360" w:lineRule="auto"/>
      </w:pPr>
      <w:r>
        <w:rPr>
          <w:rFonts w:hint="eastAsia"/>
        </w:rPr>
        <w:t>（二）防火墙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▲标准机架式1U设备，实配：千兆Combo接口≥8，万兆光口≥2，千兆电口≥2, SSL VPN并发数实配100；需提供权威第三方测试报告证明。（检测报告应标识CMA或者CNAS）；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2.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▲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满足国产化要求，设备关键CPU芯片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支持国产化，需提供权威第三方测试报告证明（检测报告应标识CMA或者CNAS）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3.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防火墙吞吐量≥7Gbps，IPS吞吐量≥2.2Gbps，防火墙最大并发连接数≥400万，每秒新建连接数≥8万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4.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支持千兆Combo接口≥8，千兆电口≥2，万兆光口≥2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5.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▲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为简化策略配置以及节省安全策略条目数，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支持一条安全策略中同时配置IPv4和IPv6地址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，如采用两条安全策略中分别配置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IPv4和IPv6地址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6.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▲支持URL识别能力和URL地址识别库，云端URL识别库≥5亿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需提供设备功能截图或官网截图证明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7.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为保证设备运维便捷性，支持设备的WEB管理页面中直接打开CLI控制命令，需提供设备功能截图或官网截图证明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8.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为满足后续IPv6的演进，设备需支持IPv6 over IPv4 隧道，6RD隧道，需提供设备功能截图或官网截图证明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9.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支持最大100层的病毒压缩文件检测和阻断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10.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支持可识别应用层协议数量≥6000种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11.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支持BFD链路检测，支持BFD与OSPF联动实现双机快速切换，需提供设备功能截图或官网截图证明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12.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支持与沙箱联动，根据沙箱检测结果联动防火墙阻断未知APT攻击。需提供设备功能截图或官网截图证明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13.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支持自动根据IP地址识别内部资产，支持呈现资产的风险状态，提供资产遭受的攻击事件在攻击链各阶段的分布统计数据，并对资产快速做出处置。提供设备功能截图或官网截图证明。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14.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支持对常见应用服务（HTTP、FTP、SSH、SMTP、IMAP）和数据库软件（MySQL、Oracle、MSSQL）的口令暴力破解防护功能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15.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▲当风扇模块出现故障时，可以在防火墙不断电的情况下，对风扇模块进行更换；为了避免防火墙过热，要求更换风扇模块所用的时间控制在1分钟内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16.</w:t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ab/>
      </w:r>
      <w: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t>实配硬盘≥240G，IPS防护授权≥6年，AV病毒防护授权≥6年，URL远程查询升级功能≥6年，六年原厂维保服务（维保包含现场硬件更换7×10×ND）。</w:t>
      </w:r>
    </w:p>
    <w:p>
      <w:pPr>
        <w:pStyle w:val="3"/>
        <w:numPr>
          <w:ilvl w:val="0"/>
          <w:numId w:val="1"/>
        </w:numPr>
        <w:spacing w:line="360" w:lineRule="auto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eastAsia="宋体" w:cs="Times New Roman"/>
          <w:lang w:val="en-US" w:eastAsia="zh-CN"/>
        </w:rPr>
        <w:t>关于原厂全保、售后、资质等要求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1.为保障本项目的建设及维保响应及时性的服务水平，供应商最好是注册在厦门或在厦门设置有分公司，需提供营业执照复印件。同时提供近3年内的厦门医疗行业相关的项目案例。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（1）供应商应按照本采购项目特点提供长期良好的售后服务，并提供详细具体的售后服务承诺条款及保证。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（2）要求供应商必须拥有专业的售后维护服务团队，能够保证本项目正常运行。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（3）★本次报价的所有设备原厂全保质保期为6年，自验收合格之日起计算，质保期间成交供应商应提供一切维修服务和更换零配件（不再另行收取费用）。设备正常使用期间内，厂商必须提供每年2次的设备技术安全巡检保养并提供年度巡检保养报告给医院存档。投标的产品供应商应提供服务条款说明书，并提供相关服务机构有关资格证明文件及公司（厂家）、地址、联系人、联系电话。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（4）在质保期内，成交供应商提供7*24小时服务。对于产品在使用过程中出现的问题，在1小时内响应。如遇与所供产品有关的问题无法远程解决的，在事件确定后2小时内赶到现场提供服务。2小时内未解决的成交供应商应提供详细的应急解决方案。因成交供应商工作延误，造成采购人损失的，成交供应商应负赔偿责任。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2. ★供应商负责前期现场技术勘查，需包含网闸、防火墙设备的搬迁、割接等工作、实施进度计划, 供应商需在供货方案与安装调试方案中列明并形成书面解决文案。所有设备需要按照医院要求进行安装，并现场在原由的系统内进行联动调试，保证提供设备无缝对接正常运行。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3. ★供应商的设计解决方案应契合原系统架构，新增的网络设备等需能对接兼容原设备的品牌。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4.★供应商公司资质需至少具备以下8个证书中的4个（越多越好）：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①质量管理体系认证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②环境管理体系认证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③信息安全管理体系认证证书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④信息技术服务管理体系认证证书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⑤电子与智能化工程专业承包资质证书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⑥信息技术服务标准认证ITSS二级及以上资质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⑦CCRC信息安全集成服务三级及以上资质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⑧涉密信息系统集成资质证书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5.★供应商员工资质需至少具备以下4类证书中的2个（越多越好）：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①项目经理：信息系统项目管理师认证或PMP项目管理师证书；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②技术负责人：华为HCIE或华三H3CIE或思科CCIE或锐捷RCIE认证；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③实施工程师：ITSS服务工程师或网络工程师或弱电工程师；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④网络安全设备维护人员：注册信息安全工程师(CISP)证书；</w:t>
      </w:r>
    </w:p>
    <w:p>
      <w:pPr>
        <w:spacing w:line="360" w:lineRule="auto"/>
        <w:ind w:firstLine="420" w:firstLineChars="200"/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F2434"/>
    <w:multiLevelType w:val="singleLevel"/>
    <w:tmpl w:val="36BF24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EE22C0"/>
    <w:multiLevelType w:val="multilevel"/>
    <w:tmpl w:val="5EEE22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42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Nzc5MGE0ZTI2ZDFjMTQxZDZhMzNhNjA5OTEwZmEifQ=="/>
  </w:docVars>
  <w:rsids>
    <w:rsidRoot w:val="00634392"/>
    <w:rsid w:val="00032717"/>
    <w:rsid w:val="0003676F"/>
    <w:rsid w:val="000F2428"/>
    <w:rsid w:val="001B1A51"/>
    <w:rsid w:val="00217CE0"/>
    <w:rsid w:val="00283F1C"/>
    <w:rsid w:val="003A3579"/>
    <w:rsid w:val="003B69F6"/>
    <w:rsid w:val="004745A8"/>
    <w:rsid w:val="004832C7"/>
    <w:rsid w:val="004C5833"/>
    <w:rsid w:val="004F731D"/>
    <w:rsid w:val="005D6C06"/>
    <w:rsid w:val="00634392"/>
    <w:rsid w:val="00637AAE"/>
    <w:rsid w:val="0079631F"/>
    <w:rsid w:val="007B7335"/>
    <w:rsid w:val="00813758"/>
    <w:rsid w:val="0086674E"/>
    <w:rsid w:val="00870EC9"/>
    <w:rsid w:val="0098626C"/>
    <w:rsid w:val="00987B47"/>
    <w:rsid w:val="00A23DD9"/>
    <w:rsid w:val="00A541B5"/>
    <w:rsid w:val="00B270EA"/>
    <w:rsid w:val="00B52C4A"/>
    <w:rsid w:val="00B556A1"/>
    <w:rsid w:val="00BA7A7F"/>
    <w:rsid w:val="00BF1B07"/>
    <w:rsid w:val="00C120C3"/>
    <w:rsid w:val="00C3531D"/>
    <w:rsid w:val="00C81447"/>
    <w:rsid w:val="00DE24A4"/>
    <w:rsid w:val="00EC64A2"/>
    <w:rsid w:val="00F54790"/>
    <w:rsid w:val="00FD78BD"/>
    <w:rsid w:val="156F559F"/>
    <w:rsid w:val="3A564B0D"/>
    <w:rsid w:val="49BE5E87"/>
    <w:rsid w:val="535A6678"/>
    <w:rsid w:val="5EA720E7"/>
    <w:rsid w:val="6659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99"/>
    <w:pPr>
      <w:jc w:val="left"/>
    </w:pPr>
    <w:rPr>
      <w:szCs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10"/>
    <w:link w:val="3"/>
    <w:qFormat/>
    <w:uiPriority w:val="0"/>
    <w:rPr>
      <w:rFonts w:ascii="等线 Light" w:hAnsi="等线 Light" w:eastAsia="宋体" w:cs="Times New Roman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字符"/>
    <w:basedOn w:val="10"/>
    <w:link w:val="4"/>
    <w:qFormat/>
    <w:uiPriority w:val="99"/>
    <w:rPr>
      <w:szCs w:val="24"/>
    </w:rPr>
  </w:style>
  <w:style w:type="paragraph" w:customStyle="1" w:styleId="17">
    <w:name w:val="列表段落1"/>
    <w:basedOn w:val="1"/>
    <w:link w:val="18"/>
    <w:qFormat/>
    <w:uiPriority w:val="34"/>
    <w:pPr>
      <w:ind w:firstLine="420" w:firstLineChars="200"/>
    </w:pPr>
  </w:style>
  <w:style w:type="character" w:customStyle="1" w:styleId="18">
    <w:name w:val="列表段落 字符"/>
    <w:link w:val="17"/>
    <w:qFormat/>
    <w:uiPriority w:val="34"/>
  </w:style>
  <w:style w:type="character" w:customStyle="1" w:styleId="19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755</Words>
  <Characters>4308</Characters>
  <Lines>35</Lines>
  <Paragraphs>10</Paragraphs>
  <TotalTime>1</TotalTime>
  <ScaleCrop>false</ScaleCrop>
  <LinksUpToDate>false</LinksUpToDate>
  <CharactersWithSpaces>5053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2023-10-11T08:07:00Z</dcterms:created>
  <dc:creator>wuchen chen</dc:creator>
  <cp:lastModifiedBy>孔融让梨佬斯基</cp:lastModifiedBy>
  <dcterms:modified xsi:type="dcterms:W3CDTF">2023-12-06T01:13:14Z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A9EFCCF06318411A9E430B9AF18DB4E8_13</vt:lpwstr>
  </property>
</Properties>
</file>