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B8F7">
      <w:pPr>
        <w:pStyle w:val="2"/>
        <w:numPr>
          <w:ilvl w:val="2"/>
          <w:numId w:val="0"/>
        </w:numPr>
        <w:snapToGrid w:val="0"/>
        <w:spacing w:before="156" w:beforeLines="50" w:after="0" w:line="360" w:lineRule="auto"/>
        <w:ind w:left="2946" w:firstLine="420"/>
        <w:rPr>
          <w:rFonts w:hint="default"/>
          <w:lang w:val="en-US"/>
        </w:rPr>
      </w:pPr>
      <w:bookmarkStart w:id="0" w:name="_Toc24905"/>
      <w:r>
        <w:rPr>
          <w:rFonts w:hint="eastAsia"/>
          <w:b w:val="0"/>
          <w:bCs w:val="0"/>
          <w:sz w:val="32"/>
          <w:szCs w:val="32"/>
          <w:lang w:val="en-US" w:eastAsia="zh-CN"/>
        </w:rPr>
        <w:t>1.1</w:t>
      </w:r>
      <w:r>
        <w:rPr>
          <w:rFonts w:hint="eastAsia"/>
          <w:b/>
          <w:bCs/>
          <w:sz w:val="32"/>
          <w:szCs w:val="32"/>
          <w:lang w:val="en-US" w:eastAsia="zh-CN"/>
        </w:rPr>
        <w:t>厦门市海沧医院机房设备原厂维保 （报价按两年期）</w:t>
      </w:r>
    </w:p>
    <w:p w14:paraId="4115CD2A">
      <w:pPr>
        <w:pStyle w:val="2"/>
        <w:numPr>
          <w:ilvl w:val="0"/>
          <w:numId w:val="2"/>
        </w:numPr>
        <w:snapToGrid w:val="0"/>
        <w:spacing w:before="156" w:beforeLines="50" w:after="0" w:line="360" w:lineRule="auto"/>
        <w:ind w:firstLine="6"/>
      </w:pPr>
      <w:r>
        <w:rPr>
          <w:rFonts w:hint="eastAsia" w:ascii="宋体" w:hAnsi="宋体" w:cs="宋体"/>
          <w:sz w:val="24"/>
          <w:szCs w:val="24"/>
        </w:rPr>
        <w:t>▼▼</w:t>
      </w:r>
      <w:r>
        <w:rPr>
          <w:rFonts w:hint="eastAsia" w:ascii="宋体" w:hAnsi="宋体"/>
          <w:sz w:val="24"/>
          <w:szCs w:val="24"/>
        </w:rPr>
        <w:t>机房基础环境设备的维护</w:t>
      </w:r>
      <w:bookmarkEnd w:id="0"/>
      <w:r>
        <w:rPr>
          <w:rFonts w:hint="eastAsia" w:ascii="宋体" w:hAnsi="宋体"/>
          <w:sz w:val="24"/>
          <w:szCs w:val="24"/>
        </w:rPr>
        <w:t>（含在用机房场地监控系统）</w:t>
      </w:r>
      <w:r>
        <w:rPr>
          <w:rFonts w:hint="eastAsia" w:ascii="宋体" w:hAnsi="宋体"/>
          <w:sz w:val="24"/>
          <w:szCs w:val="24"/>
        </w:rPr>
        <w:tab/>
      </w:r>
    </w:p>
    <w:p w14:paraId="490E6023">
      <w:pPr>
        <w:snapToGrid w:val="0"/>
        <w:ind w:firstLine="422" w:firstLineChars="200"/>
        <w:rPr>
          <w:rFonts w:ascii="宋体" w:hAnsi="宋体"/>
          <w:b/>
          <w:bCs/>
          <w:color w:val="000000"/>
        </w:rPr>
      </w:pPr>
      <w:r>
        <w:rPr>
          <w:rFonts w:hint="eastAsia"/>
          <w:b/>
          <w:bCs/>
        </w:rPr>
        <w:t>供应商需对机房基础物理环境，包括但不限于配电、精密空调、动环监测、装饰等系统的故障处理的定期排查、巡检等。</w:t>
      </w:r>
      <w:r>
        <w:rPr>
          <w:b/>
          <w:bCs/>
        </w:rPr>
        <w:t>网络</w:t>
      </w:r>
      <w:r>
        <w:rPr>
          <w:rFonts w:hint="eastAsia"/>
          <w:b/>
          <w:bCs/>
        </w:rPr>
        <w:t>设备</w:t>
      </w:r>
      <w:r>
        <w:rPr>
          <w:b/>
          <w:bCs/>
        </w:rPr>
        <w:t>等基础支撑软硬件设施运行监测、定期检查、故障处理、系统备份</w:t>
      </w:r>
      <w:r>
        <w:rPr>
          <w:rFonts w:hint="eastAsia"/>
          <w:b/>
          <w:bCs/>
        </w:rPr>
        <w:t>，以及机房场地监控系统的运维巡检及维保。</w:t>
      </w:r>
    </w:p>
    <w:p w14:paraId="677F8DCC">
      <w:pPr>
        <w:pStyle w:val="2"/>
        <w:numPr>
          <w:ilvl w:val="0"/>
          <w:numId w:val="2"/>
        </w:numPr>
        <w:snapToGrid w:val="0"/>
        <w:spacing w:before="156" w:beforeLines="50" w:after="0" w:line="360" w:lineRule="auto"/>
        <w:ind w:firstLine="6"/>
        <w:rPr>
          <w:rFonts w:ascii="宋体" w:hAnsi="宋体"/>
          <w:sz w:val="24"/>
          <w:szCs w:val="24"/>
        </w:rPr>
      </w:pPr>
      <w:bookmarkStart w:id="1" w:name="_Toc6368"/>
      <w:r>
        <w:rPr>
          <w:rFonts w:hint="eastAsia" w:ascii="宋体" w:hAnsi="宋体" w:cs="宋体"/>
          <w:sz w:val="24"/>
          <w:szCs w:val="24"/>
        </w:rPr>
        <w:t>▼▼</w:t>
      </w:r>
      <w:r>
        <w:rPr>
          <w:rFonts w:hint="eastAsia" w:ascii="宋体" w:hAnsi="宋体"/>
          <w:sz w:val="24"/>
          <w:szCs w:val="24"/>
        </w:rPr>
        <w:t>核心区5台华为交换机原厂维保要求</w:t>
      </w:r>
      <w:r>
        <w:rPr>
          <w:rFonts w:hint="eastAsia" w:ascii="宋体" w:hAnsi="宋体"/>
          <w:sz w:val="24"/>
          <w:szCs w:val="24"/>
          <w:lang w:eastAsia="zh-CN"/>
        </w:rPr>
        <w:t>（</w:t>
      </w:r>
      <w:r>
        <w:rPr>
          <w:rFonts w:ascii="Arial" w:hAnsi="Arial" w:eastAsia="等线" w:cs="Arial"/>
          <w:color w:val="000000"/>
          <w:kern w:val="0"/>
          <w:sz w:val="18"/>
          <w:szCs w:val="18"/>
          <w:lang w:bidi="ar"/>
        </w:rPr>
        <w:t>华为标准+服务</w:t>
      </w:r>
      <w:r>
        <w:rPr>
          <w:rFonts w:hint="eastAsia" w:ascii="Arial" w:hAnsi="Arial" w:eastAsia="等线" w:cs="Arial"/>
          <w:color w:val="000000"/>
          <w:kern w:val="0"/>
          <w:sz w:val="18"/>
          <w:szCs w:val="18"/>
          <w:lang w:eastAsia="zh-CN" w:bidi="ar"/>
        </w:rPr>
        <w:t>）</w:t>
      </w:r>
    </w:p>
    <w:p w14:paraId="6C7476A8">
      <w:pPr>
        <w:ind w:firstLine="420"/>
        <w:rPr>
          <w:rFonts w:ascii="宋体" w:hAnsi="宋体"/>
          <w:b/>
          <w:bCs/>
          <w:sz w:val="24"/>
        </w:rPr>
      </w:pPr>
      <w:r>
        <w:rPr>
          <w:rFonts w:hint="eastAsia" w:ascii="宋体" w:hAnsi="宋体"/>
          <w:b/>
          <w:bCs/>
          <w:sz w:val="24"/>
        </w:rPr>
        <w:t>供应商需提供华为官方的原厂维保授权函，并在维保生效之日起有效期内，在华为官网能查询到相应的设备原厂维保投保记录。</w:t>
      </w:r>
    </w:p>
    <w:p w14:paraId="1267A2E6">
      <w:r>
        <w:rPr>
          <w:rFonts w:hint="eastAsia"/>
        </w:rPr>
        <w:t>1.供应商</w:t>
      </w:r>
      <w:r>
        <w:rPr>
          <w:rFonts w:hint="eastAsia"/>
          <w:lang w:eastAsia="zh-CN"/>
        </w:rPr>
        <w:t>需</w:t>
      </w:r>
      <w:r>
        <w:rPr>
          <w:rFonts w:hint="eastAsia"/>
        </w:rPr>
        <w:t>提供原厂授权书和原厂售后维护承诺函，且原厂官网能够查询到服务生效信息</w:t>
      </w:r>
    </w:p>
    <w:p w14:paraId="0907D952">
      <w:r>
        <w:rPr>
          <w:rFonts w:hint="eastAsia"/>
        </w:rPr>
        <w:t>2.供应商需</w:t>
      </w:r>
      <w:r>
        <w:rPr>
          <w:rFonts w:hint="eastAsia"/>
          <w:lang w:eastAsia="zh-CN"/>
        </w:rPr>
        <w:t>提供</w:t>
      </w:r>
      <w:r>
        <w:rPr>
          <w:rFonts w:hint="eastAsia"/>
        </w:rPr>
        <w:t>原厂维保服务，原厂维保服务内容需满足以下条件:</w:t>
      </w:r>
    </w:p>
    <w:p w14:paraId="1E5E10F0">
      <w:r>
        <w:rPr>
          <w:rFonts w:hint="eastAsia"/>
        </w:rPr>
        <w:t>a.提供 Help Desk 热线为客户提供 7X 24 小时不间断的售后技术支持。</w:t>
      </w:r>
    </w:p>
    <w:p w14:paraId="1C9B0830">
      <w:r>
        <w:rPr>
          <w:rFonts w:hint="eastAsia"/>
        </w:rPr>
        <w:t>b.提供 7X24 小时远程问题处理，接到网络故障申报后将首先进行远程故障分析与处理，及时排除故障。远程问题处理包括电话支持和远程接入。</w:t>
      </w:r>
    </w:p>
    <w:p w14:paraId="209B9B1B">
      <w:r>
        <w:rPr>
          <w:rFonts w:hint="eastAsia"/>
        </w:rPr>
        <w:t>c.提供备件先行服务和现场工程师硬件更换服务，提前提供更换件，对于定位为需要硬件更换才能解决的问题，将安排技术支持工程师赴客户现场，进行现场硬件更换，排除故障使系统恢复正常运行。</w:t>
      </w:r>
    </w:p>
    <w:p w14:paraId="5266823E">
      <w:r>
        <w:rPr>
          <w:rFonts w:hint="eastAsia"/>
        </w:rPr>
        <w:t>d.提供现场问题处理，如果遇到通过远程技术支持不能有效解决的设备问题，安排原厂技术支持工程师赴客户现场，协助客户进行现场故障诊断、制定故障恢复方案并现场排除故障。</w:t>
      </w:r>
    </w:p>
    <w:p w14:paraId="4C7C49A3">
      <w:pPr>
        <w:rPr>
          <w:rFonts w:ascii="宋体" w:hAnsi="宋体"/>
          <w:b/>
          <w:bCs/>
          <w:sz w:val="24"/>
        </w:rPr>
      </w:pPr>
    </w:p>
    <w:tbl>
      <w:tblPr>
        <w:tblStyle w:val="5"/>
        <w:tblW w:w="11101" w:type="dxa"/>
        <w:tblInd w:w="93" w:type="dxa"/>
        <w:tblLayout w:type="autofit"/>
        <w:tblCellMar>
          <w:top w:w="0" w:type="dxa"/>
          <w:left w:w="108" w:type="dxa"/>
          <w:bottom w:w="0" w:type="dxa"/>
          <w:right w:w="108" w:type="dxa"/>
        </w:tblCellMar>
      </w:tblPr>
      <w:tblGrid>
        <w:gridCol w:w="1603"/>
        <w:gridCol w:w="2623"/>
        <w:gridCol w:w="5496"/>
        <w:gridCol w:w="1379"/>
      </w:tblGrid>
      <w:tr w14:paraId="033630CD">
        <w:tblPrEx>
          <w:tblCellMar>
            <w:top w:w="0" w:type="dxa"/>
            <w:left w:w="108" w:type="dxa"/>
            <w:bottom w:w="0" w:type="dxa"/>
            <w:right w:w="108" w:type="dxa"/>
          </w:tblCellMar>
        </w:tblPrEx>
        <w:trPr>
          <w:trHeight w:val="8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F1541E0">
            <w:pPr>
              <w:widowControl/>
              <w:jc w:val="center"/>
              <w:textAlignment w:val="center"/>
              <w:rPr>
                <w:rFonts w:ascii="微软雅黑" w:hAnsi="微软雅黑" w:eastAsia="微软雅黑" w:cs="微软雅黑"/>
                <w:b/>
                <w:bCs/>
                <w:color w:val="FFFFFF"/>
                <w:sz w:val="24"/>
              </w:rPr>
            </w:pPr>
            <w:r>
              <w:rPr>
                <w:rFonts w:hint="eastAsia" w:ascii="微软雅黑" w:hAnsi="微软雅黑" w:eastAsia="微软雅黑" w:cs="微软雅黑"/>
                <w:b/>
                <w:bCs/>
                <w:color w:val="FFFFFF"/>
                <w:kern w:val="0"/>
                <w:sz w:val="24"/>
                <w:lang w:bidi="ar"/>
              </w:rPr>
              <w:t>设备型号</w:t>
            </w:r>
          </w:p>
        </w:tc>
        <w:tc>
          <w:tcPr>
            <w:tcW w:w="2623"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C6DA91E">
            <w:pPr>
              <w:widowControl/>
              <w:jc w:val="center"/>
              <w:textAlignment w:val="center"/>
              <w:rPr>
                <w:rFonts w:ascii="微软雅黑" w:hAnsi="微软雅黑" w:eastAsia="微软雅黑" w:cs="微软雅黑"/>
                <w:b/>
                <w:bCs/>
                <w:color w:val="FFFFFF"/>
                <w:sz w:val="24"/>
              </w:rPr>
            </w:pPr>
            <w:r>
              <w:rPr>
                <w:rFonts w:hint="eastAsia" w:ascii="微软雅黑" w:hAnsi="微软雅黑" w:eastAsia="微软雅黑" w:cs="微软雅黑"/>
                <w:b/>
                <w:bCs/>
                <w:color w:val="FFFFFF"/>
                <w:kern w:val="0"/>
                <w:sz w:val="24"/>
                <w:lang w:bidi="ar"/>
              </w:rPr>
              <w:t>相关序列号</w:t>
            </w:r>
          </w:p>
        </w:tc>
        <w:tc>
          <w:tcPr>
            <w:tcW w:w="549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464DB2">
            <w:pPr>
              <w:widowControl/>
              <w:jc w:val="center"/>
              <w:textAlignment w:val="center"/>
              <w:rPr>
                <w:rFonts w:ascii="微软雅黑" w:hAnsi="微软雅黑" w:eastAsia="微软雅黑" w:cs="微软雅黑"/>
                <w:b/>
                <w:bCs/>
                <w:color w:val="FFFFFF"/>
                <w:sz w:val="24"/>
              </w:rPr>
            </w:pPr>
            <w:r>
              <w:rPr>
                <w:rFonts w:hint="eastAsia" w:ascii="微软雅黑" w:hAnsi="微软雅黑" w:eastAsia="微软雅黑" w:cs="微软雅黑"/>
                <w:b/>
                <w:bCs/>
                <w:color w:val="FFFFFF"/>
                <w:kern w:val="0"/>
                <w:sz w:val="24"/>
                <w:lang w:bidi="ar"/>
              </w:rPr>
              <w:t>详细描述</w:t>
            </w:r>
          </w:p>
        </w:tc>
        <w:tc>
          <w:tcPr>
            <w:tcW w:w="137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699173A">
            <w:pPr>
              <w:widowControl/>
              <w:jc w:val="center"/>
              <w:textAlignment w:val="center"/>
              <w:rPr>
                <w:rFonts w:ascii="微软雅黑" w:hAnsi="微软雅黑" w:eastAsia="微软雅黑" w:cs="微软雅黑"/>
                <w:b/>
                <w:bCs/>
                <w:color w:val="FFFFFF"/>
                <w:kern w:val="0"/>
                <w:sz w:val="22"/>
                <w:szCs w:val="22"/>
                <w:lang w:bidi="ar"/>
              </w:rPr>
            </w:pPr>
            <w:r>
              <w:rPr>
                <w:rFonts w:hint="eastAsia" w:ascii="微软雅黑" w:hAnsi="微软雅黑" w:eastAsia="微软雅黑" w:cs="微软雅黑"/>
                <w:b/>
                <w:bCs/>
                <w:color w:val="FFFFFF"/>
                <w:kern w:val="0"/>
                <w:sz w:val="22"/>
                <w:szCs w:val="22"/>
                <w:lang w:bidi="ar"/>
              </w:rPr>
              <w:t>备注</w:t>
            </w:r>
          </w:p>
        </w:tc>
      </w:tr>
      <w:tr w14:paraId="58634838">
        <w:tblPrEx>
          <w:tblCellMar>
            <w:top w:w="0" w:type="dxa"/>
            <w:left w:w="108" w:type="dxa"/>
            <w:bottom w:w="0" w:type="dxa"/>
            <w:right w:w="108" w:type="dxa"/>
          </w:tblCellMar>
        </w:tblPrEx>
        <w:trPr>
          <w:trHeight w:val="33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A2F16">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12708主机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735">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2102114178P0FC000272</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443C">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S12708主机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E3CE">
            <w:pPr>
              <w:widowControl/>
              <w:jc w:val="center"/>
              <w:textAlignment w:val="center"/>
              <w:rPr>
                <w:rFonts w:ascii="等线" w:hAnsi="等线" w:eastAsia="等线" w:cs="等线"/>
                <w:color w:val="000000"/>
                <w:sz w:val="22"/>
                <w:szCs w:val="22"/>
              </w:rPr>
            </w:pPr>
          </w:p>
        </w:tc>
      </w:tr>
      <w:tr w14:paraId="31F6E0B8">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69E9">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3BE">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2102114178P0FC000292</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450">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S12708主机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92CA">
            <w:pPr>
              <w:jc w:val="center"/>
              <w:rPr>
                <w:rFonts w:ascii="等线" w:hAnsi="等线" w:eastAsia="等线" w:cs="等线"/>
                <w:color w:val="000000"/>
                <w:sz w:val="22"/>
                <w:szCs w:val="22"/>
              </w:rPr>
            </w:pPr>
          </w:p>
        </w:tc>
      </w:tr>
      <w:tr w14:paraId="5BDE7D44">
        <w:tblPrEx>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30E11">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S12700板卡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FC7">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030SGH10FC000091</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BB2">
            <w:pPr>
              <w:widowControl/>
              <w:jc w:val="center"/>
              <w:textAlignment w:val="center"/>
              <w:rPr>
                <w:rFonts w:ascii="Arial" w:hAnsi="Arial" w:eastAsia="等线" w:cs="Arial"/>
                <w:color w:val="000000"/>
                <w:sz w:val="18"/>
                <w:szCs w:val="18"/>
              </w:rPr>
            </w:pPr>
            <w:r>
              <w:rPr>
                <w:rStyle w:val="7"/>
                <w:rFonts w:eastAsia="等线"/>
                <w:lang w:bidi="ar"/>
              </w:rPr>
              <w:t xml:space="preserve"> </w:t>
            </w:r>
            <w:r>
              <w:rPr>
                <w:rStyle w:val="8"/>
                <w:rFonts w:hint="default"/>
                <w:lang w:bidi="ar"/>
              </w:rPr>
              <w:t>华为服务标准</w:t>
            </w:r>
            <w:r>
              <w:rPr>
                <w:rStyle w:val="7"/>
                <w:rFonts w:eastAsia="等线"/>
                <w:lang w:bidi="ar"/>
              </w:rPr>
              <w:t>+</w:t>
            </w:r>
            <w:r>
              <w:rPr>
                <w:rStyle w:val="8"/>
                <w:rFonts w:hint="default"/>
                <w:lang w:bidi="ar"/>
              </w:rPr>
              <w:t>服务</w:t>
            </w:r>
            <w:r>
              <w:rPr>
                <w:rStyle w:val="7"/>
                <w:rFonts w:eastAsia="等线"/>
                <w:lang w:bidi="ar"/>
              </w:rPr>
              <w:t xml:space="preserve"> Sx700 48</w:t>
            </w:r>
            <w:r>
              <w:rPr>
                <w:rStyle w:val="8"/>
                <w:rFonts w:hint="default"/>
                <w:lang w:bidi="ar"/>
              </w:rPr>
              <w:t>端口百兆</w:t>
            </w:r>
            <w:r>
              <w:rPr>
                <w:rStyle w:val="7"/>
                <w:rFonts w:eastAsia="等线"/>
                <w:lang w:bidi="ar"/>
              </w:rPr>
              <w:t>/</w:t>
            </w:r>
            <w:r>
              <w:rPr>
                <w:rStyle w:val="8"/>
                <w:rFonts w:hint="default"/>
                <w:lang w:bidi="ar"/>
              </w:rPr>
              <w:t>千兆以太网光接口板</w:t>
            </w:r>
            <w:r>
              <w:rPr>
                <w:rStyle w:val="7"/>
                <w:rFonts w:eastAsia="等线"/>
                <w:lang w:bidi="ar"/>
              </w:rPr>
              <w:t>(EA,SFP)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DB46">
            <w:pPr>
              <w:jc w:val="center"/>
              <w:rPr>
                <w:rFonts w:ascii="等线" w:hAnsi="等线" w:eastAsia="等线" w:cs="等线"/>
                <w:color w:val="000000"/>
                <w:sz w:val="22"/>
                <w:szCs w:val="22"/>
              </w:rPr>
            </w:pPr>
          </w:p>
        </w:tc>
      </w:tr>
      <w:tr w14:paraId="6777F019">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671E">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C9F">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030SGH10FC000099</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75B4">
            <w:pPr>
              <w:widowControl/>
              <w:jc w:val="center"/>
              <w:textAlignment w:val="center"/>
              <w:rPr>
                <w:rFonts w:ascii="Arial" w:hAnsi="Arial" w:eastAsia="等线" w:cs="Arial"/>
                <w:color w:val="000000"/>
                <w:sz w:val="18"/>
                <w:szCs w:val="18"/>
              </w:rPr>
            </w:pPr>
            <w:r>
              <w:rPr>
                <w:rStyle w:val="7"/>
                <w:rFonts w:eastAsia="等线"/>
                <w:lang w:bidi="ar"/>
              </w:rPr>
              <w:t xml:space="preserve"> </w:t>
            </w:r>
            <w:r>
              <w:rPr>
                <w:rStyle w:val="8"/>
                <w:rFonts w:hint="default"/>
                <w:lang w:bidi="ar"/>
              </w:rPr>
              <w:t>华为服务标准</w:t>
            </w:r>
            <w:r>
              <w:rPr>
                <w:rStyle w:val="7"/>
                <w:rFonts w:eastAsia="等线"/>
                <w:lang w:bidi="ar"/>
              </w:rPr>
              <w:t>+</w:t>
            </w:r>
            <w:r>
              <w:rPr>
                <w:rStyle w:val="8"/>
                <w:rFonts w:hint="default"/>
                <w:lang w:bidi="ar"/>
              </w:rPr>
              <w:t>服务</w:t>
            </w:r>
            <w:r>
              <w:rPr>
                <w:rStyle w:val="7"/>
                <w:rFonts w:eastAsia="等线"/>
                <w:lang w:bidi="ar"/>
              </w:rPr>
              <w:t xml:space="preserve"> Sx700 48</w:t>
            </w:r>
            <w:r>
              <w:rPr>
                <w:rStyle w:val="8"/>
                <w:rFonts w:hint="default"/>
                <w:lang w:bidi="ar"/>
              </w:rPr>
              <w:t>端口百兆</w:t>
            </w:r>
            <w:r>
              <w:rPr>
                <w:rStyle w:val="7"/>
                <w:rFonts w:eastAsia="等线"/>
                <w:lang w:bidi="ar"/>
              </w:rPr>
              <w:t>/</w:t>
            </w:r>
            <w:r>
              <w:rPr>
                <w:rStyle w:val="8"/>
                <w:rFonts w:hint="default"/>
                <w:lang w:bidi="ar"/>
              </w:rPr>
              <w:t>千兆以太网光接口板</w:t>
            </w:r>
            <w:r>
              <w:rPr>
                <w:rStyle w:val="7"/>
                <w:rFonts w:eastAsia="等线"/>
                <w:lang w:bidi="ar"/>
              </w:rPr>
              <w:t>(EA,SFP)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FD32">
            <w:pPr>
              <w:jc w:val="center"/>
              <w:rPr>
                <w:rFonts w:ascii="等线" w:hAnsi="等线" w:eastAsia="等线" w:cs="等线"/>
                <w:color w:val="000000"/>
                <w:sz w:val="22"/>
                <w:szCs w:val="22"/>
              </w:rPr>
            </w:pPr>
          </w:p>
        </w:tc>
      </w:tr>
      <w:tr w14:paraId="49E208A8">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9CAB">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D445">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030SGN10FC000168</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CE8F">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48端口十兆/百兆/千兆以太网电接口板(EA,RJ45)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253E">
            <w:pPr>
              <w:jc w:val="center"/>
              <w:rPr>
                <w:rFonts w:ascii="等线" w:hAnsi="等线" w:eastAsia="等线" w:cs="等线"/>
                <w:color w:val="000000"/>
                <w:sz w:val="22"/>
                <w:szCs w:val="22"/>
              </w:rPr>
            </w:pPr>
          </w:p>
        </w:tc>
      </w:tr>
      <w:tr w14:paraId="4A02C410">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FAD7">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C5E">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030SGN10FC000174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2691">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48端口十兆/百兆/千兆以太网电接口板(EA,RJ45)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1904">
            <w:pPr>
              <w:jc w:val="center"/>
              <w:rPr>
                <w:rFonts w:ascii="等线" w:hAnsi="等线" w:eastAsia="等线" w:cs="等线"/>
                <w:color w:val="000000"/>
                <w:sz w:val="22"/>
                <w:szCs w:val="22"/>
              </w:rPr>
            </w:pPr>
          </w:p>
        </w:tc>
      </w:tr>
      <w:tr w14:paraId="28570D7D">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3E74">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C37">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030SGY10FC000117</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7FF8">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12端口万兆以太网光接口板(SA,SFP+)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31B1">
            <w:pPr>
              <w:jc w:val="center"/>
              <w:rPr>
                <w:rFonts w:ascii="等线" w:hAnsi="等线" w:eastAsia="等线" w:cs="等线"/>
                <w:color w:val="000000"/>
                <w:sz w:val="22"/>
                <w:szCs w:val="22"/>
              </w:rPr>
            </w:pPr>
          </w:p>
        </w:tc>
      </w:tr>
      <w:tr w14:paraId="2473AEAD">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3108">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73F9">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030SGY10FC000258</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16A">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12端口万兆以太网光接口板(SA,SFP+)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4080">
            <w:pPr>
              <w:jc w:val="center"/>
              <w:rPr>
                <w:rFonts w:ascii="等线" w:hAnsi="等线" w:eastAsia="等线" w:cs="等线"/>
                <w:color w:val="000000"/>
                <w:sz w:val="22"/>
                <w:szCs w:val="22"/>
              </w:rPr>
            </w:pPr>
          </w:p>
        </w:tc>
      </w:tr>
      <w:tr w14:paraId="69EDA64D">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3F24">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S7703主机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D47">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2102113304P0FB000204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536E">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S7703主机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4A5">
            <w:pPr>
              <w:jc w:val="center"/>
              <w:rPr>
                <w:rFonts w:ascii="等线" w:hAnsi="等线" w:eastAsia="等线" w:cs="等线"/>
                <w:color w:val="000000"/>
                <w:sz w:val="22"/>
                <w:szCs w:val="22"/>
              </w:rPr>
            </w:pPr>
          </w:p>
        </w:tc>
      </w:tr>
      <w:tr w14:paraId="1024B27E">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18A9">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S7706主机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557">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2102113305P0D9000173</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535B">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S7706主机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21B">
            <w:pPr>
              <w:jc w:val="center"/>
              <w:rPr>
                <w:rFonts w:ascii="等线" w:hAnsi="等线" w:eastAsia="等线" w:cs="等线"/>
                <w:color w:val="000000"/>
                <w:sz w:val="22"/>
                <w:szCs w:val="22"/>
              </w:rPr>
            </w:pPr>
          </w:p>
        </w:tc>
      </w:tr>
      <w:tr w14:paraId="4FDC3370">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6F0">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S7706主机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F88">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210235335410FC000897</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6234">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S7706主机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648">
            <w:pPr>
              <w:jc w:val="center"/>
              <w:rPr>
                <w:rFonts w:ascii="等线" w:hAnsi="等线" w:eastAsia="等线" w:cs="等线"/>
                <w:color w:val="000000"/>
                <w:sz w:val="22"/>
                <w:szCs w:val="22"/>
              </w:rPr>
            </w:pPr>
          </w:p>
        </w:tc>
      </w:tr>
      <w:tr w14:paraId="1CD536B7">
        <w:tblPrEx>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6943">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S7700板卡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A79">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030LGK10FC000045</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4FD">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24端口百兆/千兆以太网光接口和8端口十兆/百兆/千兆Combo电接口板(SA,SFP/RJ45)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CF7E">
            <w:pPr>
              <w:jc w:val="center"/>
              <w:rPr>
                <w:rFonts w:ascii="等线" w:hAnsi="等线" w:eastAsia="等线" w:cs="等线"/>
                <w:color w:val="000000"/>
                <w:sz w:val="22"/>
                <w:szCs w:val="22"/>
              </w:rPr>
            </w:pPr>
          </w:p>
        </w:tc>
      </w:tr>
      <w:tr w14:paraId="215F7994">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8170">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685">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030LMU10FC000029</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7E6E">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24端口十兆/百兆/千兆以太网电接口和2端口万兆以太网光接口板(EA,RJ45/XFP)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682F">
            <w:pPr>
              <w:jc w:val="center"/>
              <w:rPr>
                <w:rFonts w:ascii="等线" w:hAnsi="等线" w:eastAsia="等线" w:cs="等线"/>
                <w:color w:val="000000"/>
                <w:sz w:val="22"/>
                <w:szCs w:val="22"/>
              </w:rPr>
            </w:pPr>
          </w:p>
        </w:tc>
      </w:tr>
      <w:tr w14:paraId="09F23FBA">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E2AD">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5E62">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030NGA6TFC000430</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5CB">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24端口十兆/百兆/千兆以太网电接口板(FA,RJ45)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BAFC">
            <w:pPr>
              <w:jc w:val="center"/>
              <w:rPr>
                <w:rFonts w:ascii="等线" w:hAnsi="等线" w:eastAsia="等线" w:cs="等线"/>
                <w:color w:val="000000"/>
                <w:sz w:val="22"/>
                <w:szCs w:val="22"/>
              </w:rPr>
            </w:pPr>
          </w:p>
        </w:tc>
      </w:tr>
      <w:tr w14:paraId="0D1B4E1E">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AB39">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863D">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030PGM6TFC000104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1F9">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48端口百兆/千兆以太网光接口板(FA,SFP)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1BAD">
            <w:pPr>
              <w:jc w:val="center"/>
              <w:rPr>
                <w:rFonts w:ascii="等线" w:hAnsi="等线" w:eastAsia="等线" w:cs="等线"/>
                <w:color w:val="000000"/>
                <w:sz w:val="22"/>
                <w:szCs w:val="22"/>
              </w:rPr>
            </w:pPr>
          </w:p>
        </w:tc>
      </w:tr>
      <w:tr w14:paraId="1166E1C1">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7870">
            <w:pPr>
              <w:jc w:val="center"/>
              <w:rPr>
                <w:rFonts w:ascii="微软雅黑" w:hAnsi="微软雅黑" w:eastAsia="微软雅黑" w:cs="微软雅黑"/>
                <w:color w:val="000000"/>
                <w:sz w:val="22"/>
                <w:szCs w:val="22"/>
              </w:rPr>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472">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2102113305P0D9000173</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8726">
            <w:pPr>
              <w:widowControl/>
              <w:jc w:val="center"/>
              <w:textAlignment w:val="center"/>
              <w:rPr>
                <w:rFonts w:ascii="Arial" w:hAnsi="Arial" w:eastAsia="等线" w:cs="Arial"/>
                <w:color w:val="000000"/>
                <w:sz w:val="18"/>
                <w:szCs w:val="18"/>
              </w:rPr>
            </w:pPr>
            <w:r>
              <w:rPr>
                <w:rFonts w:ascii="Arial" w:hAnsi="Arial" w:eastAsia="等线" w:cs="Arial"/>
                <w:color w:val="000000"/>
                <w:kern w:val="0"/>
                <w:sz w:val="18"/>
                <w:szCs w:val="18"/>
                <w:lang w:bidi="ar"/>
              </w:rPr>
              <w:t xml:space="preserve"> 华为服务标准+服务 Sx700 24端口十兆/百兆/千兆以太网电接口和2端口万兆以太网光接口板(EA,RJ45/XFP)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D2F7">
            <w:pPr>
              <w:jc w:val="center"/>
              <w:rPr>
                <w:rFonts w:ascii="等线" w:hAnsi="等线" w:eastAsia="等线" w:cs="等线"/>
                <w:color w:val="000000"/>
                <w:sz w:val="22"/>
                <w:szCs w:val="22"/>
              </w:rPr>
            </w:pPr>
          </w:p>
        </w:tc>
      </w:tr>
    </w:tbl>
    <w:p w14:paraId="65F3D01E">
      <w:pPr>
        <w:pStyle w:val="2"/>
        <w:numPr>
          <w:ilvl w:val="0"/>
          <w:numId w:val="2"/>
        </w:numPr>
        <w:snapToGrid w:val="0"/>
        <w:spacing w:before="156" w:beforeLines="50" w:after="0" w:line="360" w:lineRule="auto"/>
        <w:ind w:firstLine="6"/>
        <w:rPr>
          <w:rFonts w:ascii="宋体" w:hAnsi="宋体"/>
          <w:sz w:val="24"/>
          <w:szCs w:val="24"/>
        </w:rPr>
      </w:pPr>
      <w:r>
        <w:rPr>
          <w:rFonts w:hint="eastAsia" w:ascii="宋体" w:hAnsi="宋体" w:cs="宋体"/>
          <w:sz w:val="24"/>
          <w:szCs w:val="24"/>
        </w:rPr>
        <w:t>▼▼</w:t>
      </w:r>
      <w:r>
        <w:rPr>
          <w:rFonts w:ascii="宋体" w:hAnsi="宋体"/>
          <w:sz w:val="24"/>
          <w:szCs w:val="24"/>
        </w:rPr>
        <w:t>网络</w:t>
      </w:r>
      <w:r>
        <w:rPr>
          <w:rFonts w:hint="eastAsia" w:ascii="宋体" w:hAnsi="宋体"/>
          <w:sz w:val="24"/>
          <w:szCs w:val="24"/>
        </w:rPr>
        <w:t>类设备</w:t>
      </w:r>
      <w:r>
        <w:rPr>
          <w:rFonts w:ascii="宋体" w:hAnsi="宋体"/>
          <w:sz w:val="24"/>
          <w:szCs w:val="24"/>
        </w:rPr>
        <w:t>维护</w:t>
      </w:r>
      <w:bookmarkEnd w:id="1"/>
      <w:r>
        <w:rPr>
          <w:rFonts w:hint="eastAsia" w:ascii="宋体" w:hAnsi="宋体"/>
          <w:sz w:val="24"/>
          <w:szCs w:val="24"/>
        </w:rPr>
        <w:t>（含在用运维管理平台）</w:t>
      </w:r>
    </w:p>
    <w:p w14:paraId="14520E24">
      <w:pPr>
        <w:snapToGrid w:val="0"/>
        <w:ind w:firstLine="560"/>
        <w:rPr>
          <w:rFonts w:ascii="宋体" w:hAnsi="宋体"/>
        </w:rPr>
      </w:pPr>
      <w:r>
        <w:rPr>
          <w:rFonts w:ascii="宋体" w:hAnsi="宋体"/>
        </w:rPr>
        <w:t>网络</w:t>
      </w:r>
      <w:r>
        <w:rPr>
          <w:rFonts w:hint="eastAsia" w:ascii="宋体" w:hAnsi="宋体"/>
        </w:rPr>
        <w:t>系统</w:t>
      </w:r>
      <w:r>
        <w:rPr>
          <w:rFonts w:ascii="宋体" w:hAnsi="宋体"/>
        </w:rPr>
        <w:t>维护的目标是：通过网络系统管理服务，降低网络设备故障率，提高网络设备的运行性能。提高网络运行的稳定性、可靠性，以专业化运作模式解决各类信息系统信息化发展的需求。需要提供故障诊断、远程支持、现场支持、软件升级、设备搬迁、网络优化、网络巡检、现场培训、技术交流、网络安全、网络建设建议等服务。</w:t>
      </w:r>
    </w:p>
    <w:p w14:paraId="279B9028">
      <w:pPr>
        <w:snapToGrid w:val="0"/>
        <w:ind w:firstLine="560"/>
        <w:rPr>
          <w:rFonts w:ascii="宋体" w:hAnsi="宋体"/>
        </w:rPr>
      </w:pPr>
      <w:r>
        <w:rPr>
          <w:rFonts w:hint="eastAsia" w:ascii="宋体" w:hAnsi="宋体"/>
          <w:b/>
          <w:bCs/>
        </w:rPr>
        <w:t>供应商需提供的</w:t>
      </w:r>
      <w:r>
        <w:rPr>
          <w:rFonts w:ascii="宋体" w:hAnsi="宋体"/>
          <w:b/>
          <w:bCs/>
        </w:rPr>
        <w:t>具体服务内容如下：</w:t>
      </w:r>
    </w:p>
    <w:p w14:paraId="31A63F7D">
      <w:pPr>
        <w:numPr>
          <w:ilvl w:val="1"/>
          <w:numId w:val="3"/>
        </w:numPr>
        <w:snapToGrid w:val="0"/>
        <w:rPr>
          <w:rFonts w:ascii="宋体" w:hAnsi="宋体"/>
          <w:b/>
          <w:bCs/>
        </w:rPr>
      </w:pPr>
      <w:r>
        <w:rPr>
          <w:rFonts w:ascii="宋体" w:hAnsi="宋体"/>
          <w:b/>
          <w:bCs/>
        </w:rPr>
        <w:t>网络故障排查</w:t>
      </w:r>
      <w:r>
        <w:rPr>
          <w:rFonts w:hint="eastAsia" w:ascii="宋体" w:hAnsi="宋体"/>
          <w:b/>
          <w:bCs/>
        </w:rPr>
        <w:t>（现场如有发生较难排查的点位疑难杂症网络故障，需配合排查维护。）</w:t>
      </w:r>
    </w:p>
    <w:p w14:paraId="6DCF1B26">
      <w:pPr>
        <w:numPr>
          <w:ilvl w:val="1"/>
          <w:numId w:val="3"/>
        </w:numPr>
        <w:snapToGrid w:val="0"/>
        <w:rPr>
          <w:rFonts w:ascii="宋体" w:hAnsi="宋体"/>
        </w:rPr>
      </w:pPr>
      <w:r>
        <w:rPr>
          <w:rFonts w:ascii="宋体" w:hAnsi="宋体"/>
        </w:rPr>
        <w:t>网络设备硬件状态检查</w:t>
      </w:r>
    </w:p>
    <w:p w14:paraId="23758CC7">
      <w:pPr>
        <w:numPr>
          <w:ilvl w:val="1"/>
          <w:numId w:val="3"/>
        </w:numPr>
        <w:tabs>
          <w:tab w:val="left" w:pos="1260"/>
        </w:tabs>
        <w:snapToGrid w:val="0"/>
        <w:rPr>
          <w:rFonts w:ascii="宋体" w:hAnsi="宋体"/>
        </w:rPr>
      </w:pPr>
      <w:r>
        <w:rPr>
          <w:rFonts w:ascii="宋体" w:hAnsi="宋体"/>
        </w:rPr>
        <w:t>网络流量监测</w:t>
      </w:r>
    </w:p>
    <w:p w14:paraId="65B81EA6">
      <w:pPr>
        <w:numPr>
          <w:ilvl w:val="1"/>
          <w:numId w:val="3"/>
        </w:numPr>
        <w:snapToGrid w:val="0"/>
        <w:rPr>
          <w:rFonts w:ascii="宋体" w:hAnsi="宋体"/>
        </w:rPr>
      </w:pPr>
      <w:r>
        <w:rPr>
          <w:rFonts w:ascii="宋体" w:hAnsi="宋体"/>
        </w:rPr>
        <w:t>安全策略配置及配置优化</w:t>
      </w:r>
    </w:p>
    <w:p w14:paraId="53A30C9A">
      <w:pPr>
        <w:numPr>
          <w:ilvl w:val="1"/>
          <w:numId w:val="3"/>
        </w:numPr>
        <w:snapToGrid w:val="0"/>
        <w:rPr>
          <w:rFonts w:ascii="宋体" w:hAnsi="宋体"/>
        </w:rPr>
      </w:pPr>
      <w:r>
        <w:rPr>
          <w:rFonts w:ascii="宋体" w:hAnsi="宋体"/>
        </w:rPr>
        <w:t>网络设备配置管理服务</w:t>
      </w:r>
    </w:p>
    <w:p w14:paraId="7467465E">
      <w:pPr>
        <w:numPr>
          <w:ilvl w:val="1"/>
          <w:numId w:val="3"/>
        </w:numPr>
        <w:snapToGrid w:val="0"/>
        <w:rPr>
          <w:rFonts w:ascii="宋体" w:hAnsi="宋体"/>
        </w:rPr>
      </w:pPr>
      <w:r>
        <w:rPr>
          <w:rFonts w:ascii="宋体" w:hAnsi="宋体"/>
        </w:rPr>
        <w:t>网络设备资料整理，配置参数整理</w:t>
      </w:r>
    </w:p>
    <w:p w14:paraId="6809FE42">
      <w:pPr>
        <w:numPr>
          <w:ilvl w:val="1"/>
          <w:numId w:val="3"/>
        </w:numPr>
        <w:snapToGrid w:val="0"/>
        <w:rPr>
          <w:rFonts w:ascii="宋体" w:hAnsi="宋体"/>
        </w:rPr>
      </w:pPr>
      <w:r>
        <w:rPr>
          <w:rFonts w:ascii="宋体" w:hAnsi="宋体"/>
        </w:rPr>
        <w:t>网络使用状况趋势分析及建议</w:t>
      </w:r>
    </w:p>
    <w:p w14:paraId="6D83D635">
      <w:pPr>
        <w:numPr>
          <w:ilvl w:val="1"/>
          <w:numId w:val="3"/>
        </w:numPr>
        <w:snapToGrid w:val="0"/>
        <w:rPr>
          <w:rFonts w:ascii="宋体" w:hAnsi="宋体"/>
          <w:b/>
          <w:bCs/>
        </w:rPr>
      </w:pPr>
      <w:r>
        <w:rPr>
          <w:rFonts w:hint="eastAsia" w:ascii="宋体" w:hAnsi="宋体"/>
          <w:b/>
          <w:bCs/>
        </w:rPr>
        <w:t>配合调试交换机等网络设备</w:t>
      </w:r>
    </w:p>
    <w:p w14:paraId="06D97A38">
      <w:pPr>
        <w:snapToGrid w:val="0"/>
        <w:ind w:left="567"/>
        <w:rPr>
          <w:rFonts w:ascii="宋体" w:hAnsi="宋体"/>
        </w:rPr>
      </w:pPr>
    </w:p>
    <w:tbl>
      <w:tblPr>
        <w:tblStyle w:val="5"/>
        <w:tblW w:w="5836" w:type="dxa"/>
        <w:tblInd w:w="93" w:type="dxa"/>
        <w:tblLayout w:type="autofit"/>
        <w:tblCellMar>
          <w:top w:w="0" w:type="dxa"/>
          <w:left w:w="108" w:type="dxa"/>
          <w:bottom w:w="0" w:type="dxa"/>
          <w:right w:w="108" w:type="dxa"/>
        </w:tblCellMar>
      </w:tblPr>
      <w:tblGrid>
        <w:gridCol w:w="2086"/>
        <w:gridCol w:w="1875"/>
        <w:gridCol w:w="1875"/>
      </w:tblGrid>
      <w:tr w14:paraId="6C339ABE">
        <w:tblPrEx>
          <w:tblCellMar>
            <w:top w:w="0" w:type="dxa"/>
            <w:left w:w="108" w:type="dxa"/>
            <w:bottom w:w="0" w:type="dxa"/>
            <w:right w:w="108" w:type="dxa"/>
          </w:tblCellMar>
        </w:tblPrEx>
        <w:trPr>
          <w:wAfter w:w="0" w:type="auto"/>
          <w:trHeight w:val="400" w:hRule="atLeast"/>
        </w:trPr>
        <w:tc>
          <w:tcPr>
            <w:tcW w:w="2086" w:type="dxa"/>
            <w:tcBorders>
              <w:top w:val="single" w:color="000000" w:sz="8" w:space="0"/>
              <w:left w:val="single" w:color="000000" w:sz="8" w:space="0"/>
              <w:bottom w:val="single" w:color="000000" w:sz="4" w:space="0"/>
              <w:right w:val="single" w:color="000000" w:sz="4" w:space="0"/>
            </w:tcBorders>
            <w:shd w:val="clear" w:color="auto" w:fill="FFFF00"/>
            <w:noWrap/>
            <w:vAlign w:val="center"/>
          </w:tcPr>
          <w:p w14:paraId="4C7545A3">
            <w:pPr>
              <w:widowControl/>
              <w:jc w:val="left"/>
              <w:textAlignment w:val="center"/>
              <w:rPr>
                <w:rFonts w:ascii="宋体" w:hAnsi="宋体" w:eastAsia="宋体" w:cs="宋体"/>
                <w:color w:val="000000"/>
                <w:sz w:val="22"/>
                <w:szCs w:val="22"/>
              </w:rPr>
            </w:pPr>
            <w:bookmarkStart w:id="2" w:name="_Toc30531"/>
            <w:r>
              <w:rPr>
                <w:rFonts w:hint="eastAsia" w:ascii="宋体" w:hAnsi="宋体" w:eastAsia="宋体" w:cs="宋体"/>
                <w:color w:val="000000"/>
                <w:kern w:val="0"/>
                <w:sz w:val="22"/>
                <w:szCs w:val="22"/>
                <w:lang w:bidi="ar"/>
              </w:rPr>
              <w:t>信息中心机房</w:t>
            </w:r>
          </w:p>
        </w:tc>
        <w:tc>
          <w:tcPr>
            <w:tcW w:w="1875" w:type="dxa"/>
            <w:tcBorders>
              <w:top w:val="single" w:color="000000" w:sz="8" w:space="0"/>
              <w:left w:val="single" w:color="000000" w:sz="4" w:space="0"/>
              <w:bottom w:val="single" w:color="000000" w:sz="4" w:space="0"/>
              <w:right w:val="single" w:color="000000" w:sz="4" w:space="0"/>
            </w:tcBorders>
            <w:shd w:val="clear" w:color="auto" w:fill="FFFF00"/>
            <w:noWrap/>
            <w:vAlign w:val="center"/>
          </w:tcPr>
          <w:p w14:paraId="781A6131">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楼层网络交换机</w:t>
            </w:r>
          </w:p>
        </w:tc>
        <w:tc>
          <w:tcPr>
            <w:tcW w:w="1875" w:type="dxa"/>
            <w:tcBorders>
              <w:top w:val="single" w:color="000000" w:sz="8" w:space="0"/>
              <w:left w:val="single" w:color="000000" w:sz="4" w:space="0"/>
              <w:bottom w:val="single" w:color="000000" w:sz="4" w:space="0"/>
              <w:right w:val="single" w:color="000000" w:sz="4" w:space="0"/>
            </w:tcBorders>
            <w:shd w:val="clear" w:color="auto" w:fill="FFFF00"/>
            <w:noWrap/>
            <w:vAlign w:val="center"/>
          </w:tcPr>
          <w:p w14:paraId="0DD4DF13">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楼层无线AP</w:t>
            </w:r>
          </w:p>
        </w:tc>
      </w:tr>
      <w:tr w14:paraId="3DE4A2C1">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8" w:space="0"/>
              <w:bottom w:val="single" w:color="000000" w:sz="8" w:space="0"/>
              <w:right w:val="single" w:color="000000" w:sz="4" w:space="0"/>
            </w:tcBorders>
            <w:shd w:val="clear" w:color="auto" w:fill="FFFF00"/>
            <w:noWrap/>
            <w:vAlign w:val="center"/>
          </w:tcPr>
          <w:p w14:paraId="52317A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约40台网络类设备</w:t>
            </w:r>
          </w:p>
        </w:tc>
        <w:tc>
          <w:tcPr>
            <w:tcW w:w="0" w:type="auto"/>
            <w:tcBorders>
              <w:top w:val="single" w:color="000000" w:sz="4" w:space="0"/>
              <w:left w:val="single" w:color="000000" w:sz="4" w:space="0"/>
              <w:bottom w:val="single" w:color="000000" w:sz="8" w:space="0"/>
              <w:right w:val="single" w:color="000000" w:sz="4" w:space="0"/>
            </w:tcBorders>
            <w:shd w:val="clear" w:color="auto" w:fill="FFFF00"/>
            <w:noWrap/>
            <w:vAlign w:val="center"/>
          </w:tcPr>
          <w:p w14:paraId="46AC4A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约120台</w:t>
            </w:r>
          </w:p>
        </w:tc>
        <w:tc>
          <w:tcPr>
            <w:tcW w:w="0" w:type="auto"/>
            <w:tcBorders>
              <w:top w:val="single" w:color="000000" w:sz="4" w:space="0"/>
              <w:left w:val="single" w:color="000000" w:sz="4" w:space="0"/>
              <w:bottom w:val="single" w:color="000000" w:sz="8" w:space="0"/>
              <w:right w:val="single" w:color="000000" w:sz="4" w:space="0"/>
            </w:tcBorders>
            <w:shd w:val="clear" w:color="auto" w:fill="FFFF00"/>
            <w:noWrap/>
            <w:vAlign w:val="center"/>
          </w:tcPr>
          <w:p w14:paraId="2F2ADE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sz w:val="22"/>
                <w:szCs w:val="22"/>
              </w:rPr>
              <w:t>约100个</w:t>
            </w:r>
          </w:p>
        </w:tc>
      </w:tr>
    </w:tbl>
    <w:p w14:paraId="03F290FB">
      <w:pPr>
        <w:pStyle w:val="2"/>
        <w:numPr>
          <w:ilvl w:val="0"/>
          <w:numId w:val="2"/>
        </w:numPr>
        <w:snapToGrid w:val="0"/>
        <w:spacing w:before="156" w:beforeLines="50" w:after="0" w:line="360" w:lineRule="auto"/>
        <w:ind w:firstLine="6"/>
        <w:rPr>
          <w:rFonts w:ascii="宋体" w:hAnsi="宋体"/>
          <w:sz w:val="24"/>
          <w:szCs w:val="24"/>
        </w:rPr>
      </w:pPr>
      <w:r>
        <w:rPr>
          <w:rFonts w:ascii="宋体" w:hAnsi="宋体"/>
          <w:sz w:val="24"/>
          <w:szCs w:val="24"/>
        </w:rPr>
        <w:t>网络</w:t>
      </w:r>
      <w:bookmarkEnd w:id="2"/>
      <w:r>
        <w:rPr>
          <w:rFonts w:hint="eastAsia" w:ascii="宋体" w:hAnsi="宋体"/>
          <w:sz w:val="24"/>
          <w:szCs w:val="24"/>
        </w:rPr>
        <w:t>规划设计（含拓扑图）</w:t>
      </w:r>
    </w:p>
    <w:p w14:paraId="4540DA50">
      <w:pPr>
        <w:ind w:left="420" w:firstLine="420"/>
        <w:rPr>
          <w:b/>
          <w:bCs/>
        </w:rPr>
      </w:pPr>
      <w:r>
        <w:rPr>
          <w:rFonts w:hint="eastAsia" w:ascii="宋体" w:hAnsi="宋体"/>
          <w:b/>
          <w:bCs/>
          <w:sz w:val="24"/>
        </w:rPr>
        <w:t>供应商</w:t>
      </w:r>
      <w:r>
        <w:rPr>
          <w:rFonts w:hint="eastAsia" w:ascii="宋体" w:hAnsi="宋体"/>
          <w:b/>
          <w:bCs/>
        </w:rPr>
        <w:t>需提供以下</w:t>
      </w:r>
      <w:r>
        <w:rPr>
          <w:rFonts w:ascii="宋体" w:hAnsi="宋体"/>
          <w:b/>
          <w:bCs/>
        </w:rPr>
        <w:t>服务</w:t>
      </w:r>
      <w:r>
        <w:rPr>
          <w:rFonts w:hint="eastAsia" w:ascii="宋体" w:hAnsi="宋体"/>
          <w:b/>
          <w:bCs/>
        </w:rPr>
        <w:t>内容：</w:t>
      </w:r>
    </w:p>
    <w:p w14:paraId="484ACE66">
      <w:pPr>
        <w:numPr>
          <w:ilvl w:val="0"/>
          <w:numId w:val="4"/>
        </w:numPr>
        <w:snapToGrid w:val="0"/>
        <w:ind w:firstLine="560"/>
        <w:rPr>
          <w:rFonts w:ascii="宋体" w:hAnsi="宋体"/>
          <w:b/>
          <w:bCs/>
        </w:rPr>
      </w:pPr>
      <w:r>
        <w:rPr>
          <w:rFonts w:hint="eastAsia" w:ascii="宋体" w:hAnsi="宋体"/>
          <w:b/>
          <w:bCs/>
        </w:rPr>
        <w:t>配合进行信息网络的规划设计，提供意见参考，并配合绘制各类网络拓扑图。</w:t>
      </w:r>
    </w:p>
    <w:p w14:paraId="7F6A0983">
      <w:pPr>
        <w:numPr>
          <w:ilvl w:val="0"/>
          <w:numId w:val="4"/>
        </w:numPr>
        <w:snapToGrid w:val="0"/>
        <w:ind w:firstLine="560"/>
        <w:rPr>
          <w:rFonts w:ascii="宋体" w:hAnsi="宋体"/>
        </w:rPr>
      </w:pPr>
      <w:r>
        <w:rPr>
          <w:rFonts w:hint="eastAsia" w:ascii="宋体" w:hAnsi="宋体"/>
        </w:rPr>
        <w:t>配合提供网络类技术前沿建设案例等指导意见。</w:t>
      </w:r>
    </w:p>
    <w:p w14:paraId="56D494E0">
      <w:pPr>
        <w:numPr>
          <w:ilvl w:val="0"/>
          <w:numId w:val="4"/>
        </w:numPr>
        <w:snapToGrid w:val="0"/>
        <w:spacing w:before="156" w:beforeLines="50" w:after="0" w:line="360" w:lineRule="auto"/>
        <w:ind w:firstLine="560"/>
        <w:rPr>
          <w:rFonts w:ascii="宋体" w:hAnsi="宋体"/>
          <w:sz w:val="24"/>
          <w:szCs w:val="24"/>
        </w:rPr>
      </w:pPr>
      <w:r>
        <w:rPr>
          <w:rFonts w:hint="eastAsia" w:ascii="宋体" w:hAnsi="宋体"/>
        </w:rPr>
        <w:t>配合统筹网络设备的新旧迭代替换等。</w:t>
      </w:r>
    </w:p>
    <w:p w14:paraId="2B6FF326">
      <w:pPr>
        <w:pStyle w:val="2"/>
        <w:numPr>
          <w:ilvl w:val="0"/>
          <w:numId w:val="2"/>
        </w:numPr>
        <w:snapToGrid w:val="0"/>
        <w:spacing w:before="156" w:beforeLines="50" w:after="0" w:line="360" w:lineRule="auto"/>
        <w:ind w:firstLine="6"/>
        <w:rPr>
          <w:rFonts w:ascii="宋体" w:hAnsi="宋体"/>
          <w:sz w:val="24"/>
          <w:szCs w:val="24"/>
        </w:rPr>
      </w:pPr>
      <w:bookmarkStart w:id="3" w:name="_Toc12084"/>
      <w:r>
        <w:rPr>
          <w:rFonts w:ascii="宋体" w:hAnsi="宋体"/>
          <w:sz w:val="24"/>
          <w:szCs w:val="24"/>
        </w:rPr>
        <w:t>维护制度建设</w:t>
      </w:r>
      <w:bookmarkEnd w:id="3"/>
      <w:r>
        <w:rPr>
          <w:rFonts w:hint="eastAsia" w:ascii="宋体" w:hAnsi="宋体"/>
          <w:sz w:val="24"/>
          <w:szCs w:val="24"/>
        </w:rPr>
        <w:t>、季度巡检报告</w:t>
      </w:r>
    </w:p>
    <w:p w14:paraId="66B026CE"/>
    <w:p w14:paraId="462C2935">
      <w:pPr>
        <w:snapToGrid w:val="0"/>
        <w:ind w:firstLine="420" w:firstLineChars="200"/>
        <w:rPr>
          <w:rFonts w:ascii="宋体" w:hAnsi="宋体"/>
          <w:color w:val="000000"/>
        </w:rPr>
      </w:pPr>
      <w:r>
        <w:rPr>
          <w:rFonts w:ascii="宋体" w:hAnsi="宋体"/>
          <w:color w:val="000000"/>
        </w:rPr>
        <w:t>制度是一种必须共同遵守的行为规范，是保证工作有序开展和任务圆满完成的基础。建立和健全信息化设施运行维护的各项管理制度，对于维护工作的顺利完成是必需的。</w:t>
      </w:r>
    </w:p>
    <w:p w14:paraId="554AD759">
      <w:pPr>
        <w:snapToGrid w:val="0"/>
        <w:ind w:firstLine="420" w:firstLineChars="200"/>
        <w:rPr>
          <w:rFonts w:ascii="宋体" w:hAnsi="宋体"/>
          <w:color w:val="000000"/>
        </w:rPr>
      </w:pPr>
      <w:r>
        <w:rPr>
          <w:rFonts w:ascii="宋体" w:hAnsi="宋体"/>
        </w:rPr>
        <w:t>要求运维团队</w:t>
      </w:r>
      <w:r>
        <w:rPr>
          <w:rFonts w:ascii="宋体" w:hAnsi="宋体"/>
          <w:color w:val="000000"/>
        </w:rPr>
        <w:t>依据以下标准，协助建立规范、科学、实用的维护制度。</w:t>
      </w:r>
    </w:p>
    <w:p w14:paraId="762AC8F5">
      <w:pPr>
        <w:ind w:firstLine="420" w:firstLineChars="200"/>
        <w:rPr>
          <w:rFonts w:ascii="宋体" w:hAnsi="宋体"/>
        </w:rPr>
      </w:pPr>
      <w:bookmarkStart w:id="4" w:name="_Toc260834768"/>
      <w:r>
        <w:rPr>
          <w:rFonts w:ascii="宋体" w:hAnsi="宋体"/>
        </w:rPr>
        <w:t>对</w:t>
      </w:r>
      <w:r>
        <w:rPr>
          <w:rFonts w:hint="eastAsia" w:ascii="宋体" w:hAnsi="宋体"/>
        </w:rPr>
        <w:t>业务</w:t>
      </w:r>
      <w:r>
        <w:rPr>
          <w:rFonts w:ascii="宋体" w:hAnsi="宋体"/>
        </w:rPr>
        <w:t>系统的支撑环境资源进行有效管理，建立符合《计算机场地通用规范》(GB/T 2887-2011)和《计算机场地安全要求》(GB/T 9361-2011)标准的基础设施，并建立业务连续性保障机制和能源管理机制。</w:t>
      </w:r>
    </w:p>
    <w:p w14:paraId="0BB0D9A3">
      <w:pPr>
        <w:ind w:firstLine="420" w:firstLineChars="200"/>
        <w:rPr>
          <w:rFonts w:ascii="宋体" w:hAnsi="宋体"/>
          <w:szCs w:val="20"/>
        </w:rPr>
      </w:pPr>
      <w:r>
        <w:rPr>
          <w:rFonts w:hint="eastAsia" w:ascii="宋体" w:hAnsi="宋体"/>
          <w:szCs w:val="20"/>
        </w:rPr>
        <w:t>对机房等设备环境进行监控，严格管理机房进出和操作权限；采取7*24小时安防措施，保障基础设施和支撑环境安全；建立平台安全、主机安全、数据安全、数据备份及灾备等方面的保障方案，全面保障</w:t>
      </w:r>
      <w:r>
        <w:rPr>
          <w:rFonts w:hint="eastAsia" w:ascii="宋体" w:hAnsi="宋体"/>
        </w:rPr>
        <w:t>业务系统</w:t>
      </w:r>
      <w:r>
        <w:rPr>
          <w:rFonts w:hint="eastAsia" w:ascii="宋体" w:hAnsi="宋体"/>
          <w:szCs w:val="20"/>
        </w:rPr>
        <w:t>的安全性和可靠性 。</w:t>
      </w:r>
    </w:p>
    <w:p w14:paraId="125B7BEF">
      <w:pPr>
        <w:snapToGrid w:val="0"/>
        <w:ind w:firstLine="480"/>
        <w:rPr>
          <w:rFonts w:ascii="宋体" w:hAnsi="宋体"/>
        </w:rPr>
      </w:pPr>
      <w:r>
        <w:rPr>
          <w:rFonts w:ascii="宋体" w:hAnsi="宋体"/>
        </w:rPr>
        <w:t>在本服务项目中，运维团队应明确自己的责任和义务，在充分了解项目所述各个系统现有环境的基础上，提供规范化、高质量的服务，并对服务质量做出可量化的承诺。</w:t>
      </w:r>
      <w:bookmarkStart w:id="5" w:name="_Toc22716329"/>
    </w:p>
    <w:p w14:paraId="45FD4135">
      <w:pPr>
        <w:snapToGrid w:val="0"/>
        <w:ind w:firstLine="480"/>
        <w:rPr>
          <w:rFonts w:ascii="宋体" w:hAnsi="宋体"/>
          <w:b/>
          <w:bCs/>
        </w:rPr>
      </w:pPr>
      <w:r>
        <w:rPr>
          <w:rFonts w:hint="eastAsia" w:ascii="宋体" w:hAnsi="宋体"/>
          <w:b/>
          <w:bCs/>
        </w:rPr>
        <w:t>供应商需提供完整的机房与网络季度巡检报告，含签字盖章的电子档与纸质档。</w:t>
      </w:r>
    </w:p>
    <w:p w14:paraId="0E82AAA1">
      <w:pPr>
        <w:snapToGrid w:val="0"/>
        <w:ind w:firstLine="480"/>
        <w:rPr>
          <w:rFonts w:ascii="宋体" w:hAnsi="宋体"/>
          <w:b/>
          <w:bCs/>
        </w:rPr>
      </w:pPr>
    </w:p>
    <w:p w14:paraId="65093344">
      <w:pPr>
        <w:snapToGrid w:val="0"/>
        <w:ind w:firstLine="480"/>
        <w:rPr>
          <w:rFonts w:ascii="宋体" w:hAnsi="宋体"/>
          <w:b/>
          <w:bCs/>
        </w:rPr>
      </w:pPr>
    </w:p>
    <w:bookmarkEnd w:id="5"/>
    <w:p w14:paraId="1A042B89">
      <w:pPr>
        <w:pStyle w:val="2"/>
        <w:numPr>
          <w:ilvl w:val="0"/>
          <w:numId w:val="0"/>
        </w:numPr>
        <w:snapToGrid w:val="0"/>
        <w:spacing w:before="0" w:after="0" w:line="360" w:lineRule="auto"/>
        <w:rPr>
          <w:rFonts w:ascii="宋体" w:hAnsi="宋体"/>
          <w:sz w:val="24"/>
          <w:szCs w:val="24"/>
        </w:rPr>
      </w:pPr>
      <w:bookmarkStart w:id="6" w:name="_Toc14760"/>
      <w:bookmarkStart w:id="7" w:name="_Toc260834775"/>
      <w:bookmarkStart w:id="8" w:name="_Toc222755462"/>
      <w:bookmarkStart w:id="9" w:name="_Toc222755165"/>
      <w:bookmarkStart w:id="10" w:name="_Toc231812892"/>
      <w:r>
        <w:rPr>
          <w:rFonts w:hint="eastAsia" w:ascii="宋体" w:hAnsi="宋体"/>
          <w:sz w:val="24"/>
          <w:szCs w:val="24"/>
        </w:rPr>
        <w:t>3</w:t>
      </w:r>
      <w:r>
        <w:rPr>
          <w:rFonts w:ascii="宋体" w:hAnsi="宋体"/>
          <w:sz w:val="24"/>
          <w:szCs w:val="24"/>
        </w:rPr>
        <w:t>.1基本要求</w:t>
      </w:r>
      <w:bookmarkEnd w:id="6"/>
    </w:p>
    <w:bookmarkEnd w:id="7"/>
    <w:bookmarkEnd w:id="8"/>
    <w:bookmarkEnd w:id="9"/>
    <w:bookmarkEnd w:id="10"/>
    <w:p w14:paraId="67E7625A">
      <w:pPr>
        <w:snapToGrid w:val="0"/>
        <w:spacing w:line="240" w:lineRule="auto"/>
        <w:ind w:firstLine="480"/>
        <w:rPr>
          <w:rFonts w:ascii="宋体" w:hAnsi="宋体"/>
          <w:sz w:val="21"/>
        </w:rPr>
      </w:pPr>
      <w:bookmarkStart w:id="11" w:name="_Toc222755167"/>
      <w:bookmarkStart w:id="12" w:name="_Toc222755464"/>
      <w:bookmarkStart w:id="13" w:name="_Toc231812894"/>
      <w:r>
        <w:rPr>
          <w:rFonts w:hint="default" w:ascii="宋体" w:hAnsi="宋体"/>
          <w:sz w:val="21"/>
        </w:rPr>
        <w:t>服务方需</w:t>
      </w:r>
      <w:r>
        <w:rPr>
          <w:rFonts w:ascii="宋体" w:hAnsi="宋体"/>
          <w:sz w:val="21"/>
        </w:rPr>
        <w:t>提供7×24小时故障响应服务，具体包括：</w:t>
      </w:r>
    </w:p>
    <w:p w14:paraId="5B56D7DD">
      <w:pPr>
        <w:numPr>
          <w:ilvl w:val="-1"/>
          <w:numId w:val="0"/>
        </w:numPr>
        <w:snapToGrid w:val="0"/>
        <w:spacing w:line="240" w:lineRule="auto"/>
        <w:ind w:left="0" w:firstLine="480"/>
        <w:rPr>
          <w:rFonts w:ascii="宋体" w:hAnsi="宋体"/>
          <w:sz w:val="21"/>
        </w:rPr>
      </w:pPr>
      <w:r>
        <w:rPr>
          <w:rFonts w:ascii="宋体" w:hAnsi="宋体"/>
          <w:sz w:val="21"/>
        </w:rPr>
        <w:t>主要系统设备出现故障时（一、二级故障），15</w:t>
      </w:r>
      <w:r>
        <w:rPr>
          <w:rFonts w:hint="default" w:ascii="宋体" w:hAnsi="宋体"/>
          <w:sz w:val="21"/>
        </w:rPr>
        <w:t>-30</w:t>
      </w:r>
      <w:r>
        <w:rPr>
          <w:rFonts w:ascii="宋体" w:hAnsi="宋体"/>
          <w:sz w:val="21"/>
        </w:rPr>
        <w:t xml:space="preserve">分钟内响应， </w:t>
      </w:r>
      <w:r>
        <w:rPr>
          <w:rFonts w:hint="default" w:ascii="宋体" w:hAnsi="宋体"/>
          <w:sz w:val="21"/>
        </w:rPr>
        <w:t>2-3</w:t>
      </w:r>
      <w:r>
        <w:rPr>
          <w:rFonts w:ascii="宋体" w:hAnsi="宋体"/>
          <w:sz w:val="21"/>
        </w:rPr>
        <w:t>小时内派专业工程师赶赴现场进行故障诊断及处理，</w:t>
      </w:r>
      <w:r>
        <w:rPr>
          <w:rFonts w:hint="default" w:ascii="宋体" w:hAnsi="宋体"/>
          <w:sz w:val="21"/>
        </w:rPr>
        <w:t>2-8</w:t>
      </w:r>
      <w:r>
        <w:rPr>
          <w:rFonts w:ascii="宋体" w:hAnsi="宋体"/>
          <w:sz w:val="21"/>
        </w:rPr>
        <w:t>小时内排除故障。如因硬件缺失导致现场无法修复时，服务方需提供临时替代方案，确保系统运转。</w:t>
      </w:r>
    </w:p>
    <w:p w14:paraId="4E7AE130">
      <w:pPr>
        <w:numPr>
          <w:ilvl w:val="-1"/>
          <w:numId w:val="0"/>
        </w:numPr>
        <w:snapToGrid w:val="0"/>
        <w:spacing w:line="240" w:lineRule="auto"/>
        <w:ind w:left="0" w:firstLine="480"/>
        <w:rPr>
          <w:rFonts w:hint="default" w:ascii="宋体" w:hAnsi="宋体"/>
          <w:sz w:val="21"/>
        </w:rPr>
      </w:pPr>
      <w:r>
        <w:rPr>
          <w:rFonts w:ascii="宋体" w:hAnsi="宋体"/>
          <w:sz w:val="21"/>
        </w:rPr>
        <w:t>一般故障（三、四级故障），正常工作日内响应，</w:t>
      </w:r>
      <w:r>
        <w:rPr>
          <w:rFonts w:hint="default" w:ascii="宋体" w:hAnsi="宋体"/>
          <w:sz w:val="21"/>
        </w:rPr>
        <w:t>最迟48小时内修复</w:t>
      </w:r>
      <w:r>
        <w:rPr>
          <w:rFonts w:ascii="宋体" w:hAnsi="宋体"/>
          <w:sz w:val="21"/>
        </w:rPr>
        <w:t>。</w:t>
      </w:r>
    </w:p>
    <w:p w14:paraId="39C89695">
      <w:pPr>
        <w:snapToGrid w:val="0"/>
        <w:spacing w:before="0" w:after="0" w:line="360" w:lineRule="auto"/>
        <w:ind w:firstLine="369" w:firstLineChars="176"/>
        <w:rPr>
          <w:rFonts w:ascii="宋体" w:hAnsi="宋体"/>
          <w:sz w:val="21"/>
          <w:szCs w:val="24"/>
        </w:rPr>
      </w:pPr>
      <w:r>
        <w:rPr>
          <w:rFonts w:ascii="宋体" w:hAnsi="宋体"/>
          <w:sz w:val="21"/>
          <w:szCs w:val="24"/>
        </w:rPr>
        <w:t>其他时间及夜间服务</w:t>
      </w:r>
    </w:p>
    <w:p w14:paraId="3E07B346">
      <w:pPr>
        <w:numPr>
          <w:ilvl w:val="-1"/>
          <w:numId w:val="0"/>
        </w:numPr>
        <w:snapToGrid w:val="0"/>
        <w:spacing w:line="240" w:lineRule="auto"/>
        <w:ind w:left="0" w:firstLine="480"/>
        <w:rPr>
          <w:rFonts w:ascii="宋体" w:hAnsi="宋体"/>
          <w:sz w:val="21"/>
        </w:rPr>
      </w:pPr>
      <w:r>
        <w:rPr>
          <w:rFonts w:ascii="宋体" w:hAnsi="宋体"/>
          <w:sz w:val="21"/>
        </w:rPr>
        <w:t>主要系统设备出现故障时（一、二级故障），</w:t>
      </w:r>
      <w:r>
        <w:rPr>
          <w:rFonts w:hint="default" w:ascii="宋体" w:hAnsi="宋体"/>
          <w:sz w:val="21"/>
        </w:rPr>
        <w:t>30-60</w:t>
      </w:r>
      <w:r>
        <w:rPr>
          <w:rFonts w:ascii="宋体" w:hAnsi="宋体"/>
          <w:sz w:val="21"/>
        </w:rPr>
        <w:t>分钟内响应，</w:t>
      </w:r>
      <w:r>
        <w:rPr>
          <w:rFonts w:hint="default" w:ascii="宋体" w:hAnsi="宋体"/>
          <w:sz w:val="21"/>
        </w:rPr>
        <w:t>3-4</w:t>
      </w:r>
      <w:r>
        <w:rPr>
          <w:rFonts w:ascii="宋体" w:hAnsi="宋体"/>
          <w:sz w:val="21"/>
        </w:rPr>
        <w:t>小时内派专业工程师赶赴现场进行故障诊断及处理，</w:t>
      </w:r>
      <w:r>
        <w:rPr>
          <w:rFonts w:hint="default" w:ascii="宋体" w:hAnsi="宋体"/>
          <w:sz w:val="21"/>
        </w:rPr>
        <w:t>4-12</w:t>
      </w:r>
      <w:r>
        <w:rPr>
          <w:rFonts w:ascii="宋体" w:hAnsi="宋体"/>
          <w:sz w:val="21"/>
        </w:rPr>
        <w:t>小时内排除故障。如因硬件缺失导致现场无法修复时，服务方需提供临时替代方案，确保系统运转。</w:t>
      </w:r>
    </w:p>
    <w:p w14:paraId="7AB3843C">
      <w:pPr>
        <w:numPr>
          <w:ilvl w:val="-1"/>
          <w:numId w:val="0"/>
        </w:numPr>
        <w:snapToGrid w:val="0"/>
        <w:spacing w:line="240" w:lineRule="auto"/>
        <w:ind w:left="0" w:firstLine="480"/>
        <w:rPr>
          <w:rFonts w:ascii="宋体" w:hAnsi="宋体"/>
          <w:sz w:val="21"/>
        </w:rPr>
      </w:pPr>
      <w:r>
        <w:rPr>
          <w:rFonts w:ascii="宋体" w:hAnsi="宋体"/>
          <w:sz w:val="21"/>
        </w:rPr>
        <w:t>一般故障（三、四级故障），可延至工作日内响应，最迟</w:t>
      </w:r>
      <w:r>
        <w:rPr>
          <w:rFonts w:hint="default" w:ascii="宋体" w:hAnsi="宋体"/>
          <w:sz w:val="21"/>
        </w:rPr>
        <w:t>48小时内修复</w:t>
      </w:r>
      <w:r>
        <w:rPr>
          <w:rFonts w:ascii="宋体" w:hAnsi="宋体"/>
          <w:sz w:val="21"/>
        </w:rPr>
        <w:t>。</w:t>
      </w:r>
    </w:p>
    <w:p w14:paraId="5314A8E6">
      <w:pPr>
        <w:snapToGrid w:val="0"/>
        <w:rPr>
          <w:rFonts w:ascii="宋体" w:hAnsi="宋体"/>
        </w:rPr>
      </w:pPr>
    </w:p>
    <w:p w14:paraId="02494E3B">
      <w:pPr>
        <w:snapToGrid w:val="0"/>
        <w:ind w:firstLine="480"/>
        <w:rPr>
          <w:rFonts w:ascii="宋体" w:hAnsi="宋体"/>
        </w:rPr>
      </w:pPr>
      <w:r>
        <w:rPr>
          <w:rFonts w:hint="eastAsia" w:ascii="宋体" w:hAnsi="宋体"/>
        </w:rPr>
        <w:t>具体联系方式包括：</w:t>
      </w:r>
      <w:r>
        <w:rPr>
          <w:rFonts w:ascii="宋体" w:hAnsi="宋体"/>
        </w:rPr>
        <w:t>通过维护团队提供的7×24小时响应服务热线</w:t>
      </w:r>
      <w:r>
        <w:rPr>
          <w:rFonts w:hint="eastAsia" w:ascii="宋体" w:hAnsi="宋体"/>
        </w:rPr>
        <w:t>；</w:t>
      </w:r>
      <w:r>
        <w:rPr>
          <w:rFonts w:ascii="宋体" w:hAnsi="宋体"/>
        </w:rPr>
        <w:t>现场维护人员通过移动通信网络（当运维管理系统具备短信故障报警通知功能时）接收到系统报警信息</w:t>
      </w:r>
      <w:r>
        <w:rPr>
          <w:rFonts w:hint="eastAsia" w:ascii="宋体" w:hAnsi="宋体"/>
        </w:rPr>
        <w:t>；或</w:t>
      </w:r>
      <w:r>
        <w:rPr>
          <w:rFonts w:ascii="宋体" w:hAnsi="宋体"/>
        </w:rPr>
        <w:t>维护人员接到服务请求电话时</w:t>
      </w:r>
      <w:r>
        <w:rPr>
          <w:rFonts w:hint="eastAsia" w:ascii="宋体" w:hAnsi="宋体"/>
        </w:rPr>
        <w:t>。</w:t>
      </w:r>
    </w:p>
    <w:p w14:paraId="38394F6A">
      <w:pPr>
        <w:pStyle w:val="3"/>
        <w:numPr>
          <w:ilvl w:val="0"/>
          <w:numId w:val="0"/>
        </w:numPr>
        <w:snapToGrid w:val="0"/>
        <w:spacing w:before="0" w:after="0" w:line="360" w:lineRule="auto"/>
        <w:ind w:firstLine="371" w:firstLineChars="176"/>
        <w:rPr>
          <w:rFonts w:ascii="宋体" w:hAnsi="宋体"/>
          <w:szCs w:val="24"/>
        </w:rPr>
      </w:pPr>
      <w:bookmarkStart w:id="14" w:name="_Toc260834783"/>
      <w:r>
        <w:rPr>
          <w:rFonts w:ascii="宋体" w:hAnsi="宋体"/>
          <w:szCs w:val="24"/>
        </w:rPr>
        <w:t>临时保障服务</w:t>
      </w:r>
      <w:bookmarkEnd w:id="14"/>
    </w:p>
    <w:p w14:paraId="5A9DA108">
      <w:pPr>
        <w:snapToGrid w:val="0"/>
        <w:ind w:firstLine="420" w:firstLineChars="200"/>
        <w:rPr>
          <w:rFonts w:ascii="宋体" w:hAnsi="宋体"/>
        </w:rPr>
      </w:pPr>
      <w:r>
        <w:rPr>
          <w:rFonts w:hint="eastAsia" w:ascii="宋体" w:hAnsi="宋体"/>
        </w:rPr>
        <w:t>提供每年</w:t>
      </w:r>
      <w:r>
        <w:rPr>
          <w:rFonts w:hint="eastAsia" w:ascii="宋体" w:hAnsi="宋体"/>
          <w:lang w:val="en-US" w:eastAsia="zh-CN"/>
        </w:rPr>
        <w:t>8</w:t>
      </w:r>
      <w:r>
        <w:rPr>
          <w:rFonts w:hint="eastAsia" w:ascii="宋体" w:hAnsi="宋体"/>
        </w:rPr>
        <w:t>次的</w:t>
      </w:r>
      <w:r>
        <w:rPr>
          <w:rFonts w:ascii="宋体" w:hAnsi="宋体"/>
        </w:rPr>
        <w:t>重大活动</w:t>
      </w:r>
      <w:r>
        <w:rPr>
          <w:rFonts w:hint="eastAsia" w:ascii="宋体" w:hAnsi="宋体"/>
        </w:rPr>
        <w:t>现场</w:t>
      </w:r>
      <w:r>
        <w:rPr>
          <w:rFonts w:ascii="宋体" w:hAnsi="宋体"/>
        </w:rPr>
        <w:t>保障服务，维护团队须在需要保障服务的前</w:t>
      </w:r>
      <w:r>
        <w:rPr>
          <w:rFonts w:hint="eastAsia" w:ascii="宋体" w:hAnsi="宋体"/>
        </w:rPr>
        <w:t>一</w:t>
      </w:r>
      <w:r>
        <w:rPr>
          <w:rFonts w:ascii="宋体" w:hAnsi="宋体"/>
        </w:rPr>
        <w:t>天对所有设备进行临时性安全检查，排除安全隐患，以做到万无一失。</w:t>
      </w:r>
    </w:p>
    <w:bookmarkEnd w:id="11"/>
    <w:bookmarkEnd w:id="12"/>
    <w:bookmarkEnd w:id="13"/>
    <w:p w14:paraId="39E49E36">
      <w:pPr>
        <w:pStyle w:val="3"/>
        <w:numPr>
          <w:ilvl w:val="0"/>
          <w:numId w:val="0"/>
        </w:numPr>
        <w:snapToGrid w:val="0"/>
        <w:spacing w:before="0" w:after="0" w:line="360" w:lineRule="auto"/>
        <w:ind w:firstLine="371" w:firstLineChars="176"/>
        <w:rPr>
          <w:rFonts w:ascii="宋体" w:hAnsi="宋体"/>
          <w:szCs w:val="24"/>
        </w:rPr>
      </w:pPr>
      <w:bookmarkStart w:id="15" w:name="_Toc222755466"/>
      <w:bookmarkStart w:id="16" w:name="_Toc231812896"/>
      <w:bookmarkStart w:id="17" w:name="_Toc222755169"/>
      <w:r>
        <w:rPr>
          <w:rFonts w:ascii="宋体" w:hAnsi="宋体"/>
          <w:szCs w:val="24"/>
        </w:rPr>
        <w:t>季度检查</w:t>
      </w:r>
      <w:bookmarkEnd w:id="15"/>
      <w:bookmarkEnd w:id="16"/>
      <w:bookmarkEnd w:id="17"/>
    </w:p>
    <w:p w14:paraId="210E9149">
      <w:pPr>
        <w:snapToGrid w:val="0"/>
        <w:ind w:firstLine="480"/>
        <w:rPr>
          <w:rFonts w:ascii="宋体" w:hAnsi="宋体"/>
        </w:rPr>
      </w:pPr>
      <w:r>
        <w:rPr>
          <w:rFonts w:ascii="宋体" w:hAnsi="宋体"/>
        </w:rPr>
        <w:t>每季度对由维护团队的专业维护队伍对所有设备进行安全评估和风险分析，提交完整的安全状况评估报告，分析存在的安全漏洞情况，提出</w:t>
      </w:r>
      <w:r>
        <w:rPr>
          <w:rFonts w:hint="eastAsia" w:ascii="宋体" w:hAnsi="宋体"/>
        </w:rPr>
        <w:t>《季度巡检报告》和</w:t>
      </w:r>
      <w:r>
        <w:rPr>
          <w:rFonts w:ascii="宋体" w:hAnsi="宋体"/>
        </w:rPr>
        <w:t>《</w:t>
      </w:r>
      <w:r>
        <w:rPr>
          <w:rFonts w:hint="eastAsia" w:ascii="宋体" w:hAnsi="宋体"/>
        </w:rPr>
        <w:t>改善</w:t>
      </w:r>
      <w:r>
        <w:rPr>
          <w:rFonts w:ascii="宋体" w:hAnsi="宋体"/>
        </w:rPr>
        <w:t>方案和建议》。</w:t>
      </w:r>
    </w:p>
    <w:p w14:paraId="7B261EA1">
      <w:pPr>
        <w:pStyle w:val="3"/>
        <w:numPr>
          <w:ilvl w:val="0"/>
          <w:numId w:val="0"/>
        </w:numPr>
        <w:snapToGrid w:val="0"/>
        <w:spacing w:before="0" w:after="0" w:line="360" w:lineRule="auto"/>
        <w:ind w:firstLine="371" w:firstLineChars="176"/>
        <w:rPr>
          <w:rFonts w:ascii="宋体" w:hAnsi="宋体"/>
          <w:szCs w:val="24"/>
        </w:rPr>
      </w:pPr>
      <w:r>
        <w:rPr>
          <w:rFonts w:ascii="宋体" w:hAnsi="宋体"/>
          <w:szCs w:val="24"/>
        </w:rPr>
        <w:t>年度检查</w:t>
      </w:r>
    </w:p>
    <w:p w14:paraId="2C2AC814">
      <w:pPr>
        <w:snapToGrid w:val="0"/>
        <w:ind w:firstLine="480"/>
        <w:rPr>
          <w:rFonts w:ascii="宋体" w:hAnsi="宋体"/>
        </w:rPr>
      </w:pPr>
      <w:r>
        <w:rPr>
          <w:rFonts w:ascii="宋体" w:hAnsi="宋体"/>
        </w:rPr>
        <w:t>每年由维护团队组织相关的专家（含硬件和软件）对整个系统进行安全检查，对每个硬件设备使用状态进行风险评估，并对下一年可能存在的问题进行风险预测，对每个设备的状态出具使用报告。</w:t>
      </w:r>
    </w:p>
    <w:p w14:paraId="1BEE8E6F">
      <w:pPr>
        <w:pStyle w:val="2"/>
        <w:numPr>
          <w:ilvl w:val="0"/>
          <w:numId w:val="0"/>
        </w:numPr>
        <w:snapToGrid w:val="0"/>
        <w:spacing w:before="0" w:after="0" w:line="360" w:lineRule="auto"/>
        <w:rPr>
          <w:rFonts w:ascii="宋体" w:hAnsi="宋体"/>
          <w:sz w:val="24"/>
          <w:szCs w:val="24"/>
        </w:rPr>
      </w:pPr>
      <w:bookmarkStart w:id="18" w:name="_Toc19049"/>
      <w:r>
        <w:rPr>
          <w:rFonts w:hint="eastAsia" w:ascii="宋体" w:hAnsi="宋体"/>
          <w:sz w:val="24"/>
          <w:szCs w:val="24"/>
        </w:rPr>
        <w:t>3</w:t>
      </w:r>
      <w:r>
        <w:rPr>
          <w:rFonts w:ascii="宋体" w:hAnsi="宋体"/>
          <w:sz w:val="24"/>
          <w:szCs w:val="24"/>
        </w:rPr>
        <w:t>.2服务队伍要求</w:t>
      </w:r>
      <w:bookmarkEnd w:id="18"/>
    </w:p>
    <w:p w14:paraId="7DDAF53C">
      <w:pPr>
        <w:pStyle w:val="9"/>
        <w:snapToGrid w:val="0"/>
        <w:ind w:firstLineChars="0"/>
        <w:rPr>
          <w:rFonts w:ascii="宋体" w:hAnsi="宋体" w:cs="Times New Roman"/>
          <w:szCs w:val="24"/>
        </w:rPr>
      </w:pPr>
      <w:r>
        <w:rPr>
          <w:rFonts w:ascii="宋体" w:hAnsi="宋体" w:cs="Times New Roman"/>
          <w:szCs w:val="24"/>
        </w:rPr>
        <w:t>要求维护团队拥有强大的技术支持力量，拥有稳定的专业化的技术支持服务队伍，完善的技术支持服务体系。</w:t>
      </w:r>
    </w:p>
    <w:p w14:paraId="55FC6942">
      <w:pPr>
        <w:pStyle w:val="9"/>
        <w:snapToGrid w:val="0"/>
        <w:ind w:firstLineChars="0"/>
        <w:rPr>
          <w:rFonts w:ascii="宋体" w:hAnsi="宋体" w:cs="Times New Roman"/>
          <w:szCs w:val="24"/>
        </w:rPr>
      </w:pPr>
      <w:r>
        <w:rPr>
          <w:rFonts w:ascii="宋体" w:hAnsi="宋体" w:cs="Times New Roman"/>
          <w:szCs w:val="24"/>
        </w:rPr>
        <w:t>现场服务人员负责网络的监控、简单故障的解决，接听技术热线。</w:t>
      </w:r>
    </w:p>
    <w:p w14:paraId="3967A213">
      <w:pPr>
        <w:pStyle w:val="9"/>
        <w:snapToGrid w:val="0"/>
        <w:ind w:firstLineChars="0"/>
        <w:rPr>
          <w:rFonts w:ascii="宋体" w:hAnsi="宋体" w:cs="Times New Roman"/>
          <w:szCs w:val="24"/>
        </w:rPr>
      </w:pPr>
      <w:r>
        <w:rPr>
          <w:rFonts w:ascii="宋体" w:hAnsi="宋体" w:cs="Times New Roman"/>
          <w:szCs w:val="24"/>
        </w:rPr>
        <w:t>现场服务人员按照计划对现场工作终端、楼层设备、机房及机房设备等进行例行巡检。</w:t>
      </w:r>
    </w:p>
    <w:p w14:paraId="1D945649">
      <w:pPr>
        <w:pStyle w:val="9"/>
        <w:snapToGrid w:val="0"/>
        <w:ind w:firstLineChars="0"/>
        <w:rPr>
          <w:rFonts w:ascii="宋体" w:hAnsi="宋体" w:cs="Times New Roman"/>
          <w:szCs w:val="24"/>
        </w:rPr>
      </w:pPr>
      <w:r>
        <w:rPr>
          <w:rFonts w:ascii="宋体" w:hAnsi="宋体" w:cs="Times New Roman"/>
          <w:szCs w:val="24"/>
        </w:rPr>
        <w:t>技术专家负责重大故障的处理，定期对运行情况进行分析，并提出整改或优化方案和建议。</w:t>
      </w:r>
    </w:p>
    <w:p w14:paraId="38A5C940">
      <w:pPr>
        <w:pStyle w:val="9"/>
        <w:snapToGrid w:val="0"/>
        <w:ind w:firstLineChars="0"/>
        <w:rPr>
          <w:rFonts w:ascii="宋体" w:hAnsi="宋体" w:cs="Times New Roman"/>
          <w:szCs w:val="24"/>
        </w:rPr>
      </w:pPr>
    </w:p>
    <w:tbl>
      <w:tblPr>
        <w:tblStyle w:val="5"/>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524"/>
      </w:tblGrid>
      <w:tr w14:paraId="725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794" w:type="dxa"/>
            <w:vMerge w:val="restart"/>
          </w:tcPr>
          <w:p w14:paraId="2A1ACC61">
            <w:pPr>
              <w:jc w:val="center"/>
            </w:pPr>
            <w:r>
              <w:rPr>
                <w:rFonts w:hint="eastAsia"/>
              </w:rPr>
              <w:t>主要人员</w:t>
            </w:r>
          </w:p>
        </w:tc>
        <w:tc>
          <w:tcPr>
            <w:tcW w:w="5524" w:type="dxa"/>
          </w:tcPr>
          <w:p w14:paraId="2C5AF1D7">
            <w:pPr>
              <w:jc w:val="center"/>
            </w:pPr>
            <w:r>
              <w:rPr>
                <w:rFonts w:hint="eastAsia"/>
              </w:rPr>
              <w:t>机房专业技术人员根据故障分类安排</w:t>
            </w:r>
          </w:p>
        </w:tc>
      </w:tr>
      <w:tr w14:paraId="0AD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794" w:type="dxa"/>
            <w:vMerge w:val="continue"/>
          </w:tcPr>
          <w:p w14:paraId="55C8BB66"/>
        </w:tc>
        <w:tc>
          <w:tcPr>
            <w:tcW w:w="5524" w:type="dxa"/>
          </w:tcPr>
          <w:p w14:paraId="222A5C83">
            <w:pPr>
              <w:jc w:val="center"/>
            </w:pPr>
            <w:r>
              <w:rPr>
                <w:rFonts w:hint="eastAsia"/>
              </w:rPr>
              <w:t>网络专业技术人员根据故障分类安排</w:t>
            </w:r>
          </w:p>
        </w:tc>
      </w:tr>
      <w:tr w14:paraId="7A6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794" w:type="dxa"/>
            <w:vMerge w:val="continue"/>
          </w:tcPr>
          <w:p w14:paraId="6698F75E"/>
        </w:tc>
        <w:tc>
          <w:tcPr>
            <w:tcW w:w="5524" w:type="dxa"/>
          </w:tcPr>
          <w:p w14:paraId="66024BDE">
            <w:pPr>
              <w:jc w:val="center"/>
            </w:pPr>
            <w:r>
              <w:rPr>
                <w:rFonts w:hint="eastAsia"/>
              </w:rPr>
              <w:t>原厂技术人员（根据故障分类安排）</w:t>
            </w:r>
          </w:p>
        </w:tc>
      </w:tr>
      <w:tr w14:paraId="7C4A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restart"/>
          </w:tcPr>
          <w:p w14:paraId="1B666147"/>
          <w:p w14:paraId="1CD1D90E">
            <w:pPr>
              <w:jc w:val="center"/>
            </w:pPr>
            <w:r>
              <w:rPr>
                <w:rFonts w:hint="eastAsia"/>
              </w:rPr>
              <w:t>支援团队（若干，按需调配）</w:t>
            </w:r>
          </w:p>
        </w:tc>
        <w:tc>
          <w:tcPr>
            <w:tcW w:w="5524" w:type="dxa"/>
          </w:tcPr>
          <w:p w14:paraId="538DCB6A">
            <w:pPr>
              <w:jc w:val="center"/>
            </w:pPr>
            <w:r>
              <w:rPr>
                <w:rFonts w:hint="eastAsia"/>
              </w:rPr>
              <w:t>公司行业专家资源库</w:t>
            </w:r>
          </w:p>
        </w:tc>
      </w:tr>
      <w:tr w14:paraId="723F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14:paraId="5E4A6581"/>
        </w:tc>
        <w:tc>
          <w:tcPr>
            <w:tcW w:w="5524" w:type="dxa"/>
          </w:tcPr>
          <w:p w14:paraId="5F72F7C9">
            <w:pPr>
              <w:jc w:val="center"/>
            </w:pPr>
            <w:r>
              <w:rPr>
                <w:rFonts w:hint="eastAsia"/>
              </w:rPr>
              <w:t>系统集成工程师（含网络安全专业）</w:t>
            </w:r>
          </w:p>
        </w:tc>
      </w:tr>
      <w:tr w14:paraId="4622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14:paraId="618AE5CD"/>
        </w:tc>
        <w:tc>
          <w:tcPr>
            <w:tcW w:w="5524" w:type="dxa"/>
          </w:tcPr>
          <w:p w14:paraId="5B9B0409">
            <w:pPr>
              <w:jc w:val="center"/>
            </w:pPr>
            <w:r>
              <w:rPr>
                <w:rFonts w:hint="eastAsia"/>
              </w:rPr>
              <w:t>机房工程师（含动环、给排水、开槽专业）</w:t>
            </w:r>
          </w:p>
        </w:tc>
      </w:tr>
      <w:tr w14:paraId="3D2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14:paraId="719F7FF6"/>
        </w:tc>
        <w:tc>
          <w:tcPr>
            <w:tcW w:w="5524" w:type="dxa"/>
          </w:tcPr>
          <w:p w14:paraId="46A2ECD7">
            <w:pPr>
              <w:jc w:val="center"/>
            </w:pPr>
            <w:r>
              <w:rPr>
                <w:rFonts w:hint="eastAsia"/>
              </w:rPr>
              <w:t>配电/UPS工程师</w:t>
            </w:r>
          </w:p>
        </w:tc>
      </w:tr>
      <w:tr w14:paraId="6360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14:paraId="0B4D9F2C"/>
        </w:tc>
        <w:tc>
          <w:tcPr>
            <w:tcW w:w="5524" w:type="dxa"/>
          </w:tcPr>
          <w:p w14:paraId="282145D9">
            <w:pPr>
              <w:jc w:val="center"/>
            </w:pPr>
            <w:r>
              <w:rPr>
                <w:rFonts w:hint="eastAsia"/>
              </w:rPr>
              <w:t>精密空调工程师</w:t>
            </w:r>
          </w:p>
        </w:tc>
      </w:tr>
      <w:tr w14:paraId="2086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94" w:type="dxa"/>
            <w:vMerge w:val="continue"/>
          </w:tcPr>
          <w:p w14:paraId="07930ED6"/>
        </w:tc>
        <w:tc>
          <w:tcPr>
            <w:tcW w:w="5524" w:type="dxa"/>
          </w:tcPr>
          <w:p w14:paraId="3AAD3A99">
            <w:pPr>
              <w:jc w:val="center"/>
            </w:pPr>
            <w:r>
              <w:rPr>
                <w:rFonts w:hint="eastAsia"/>
              </w:rPr>
              <w:t>材料员</w:t>
            </w:r>
          </w:p>
        </w:tc>
      </w:tr>
      <w:tr w14:paraId="60CA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794" w:type="dxa"/>
            <w:vMerge w:val="continue"/>
          </w:tcPr>
          <w:p w14:paraId="0C71FAD8"/>
        </w:tc>
        <w:tc>
          <w:tcPr>
            <w:tcW w:w="5524" w:type="dxa"/>
          </w:tcPr>
          <w:p w14:paraId="663F47E4">
            <w:pPr>
              <w:jc w:val="center"/>
            </w:pPr>
            <w:r>
              <w:rPr>
                <w:rFonts w:hint="eastAsia"/>
              </w:rPr>
              <w:t>总工办（质监）</w:t>
            </w:r>
          </w:p>
        </w:tc>
      </w:tr>
      <w:tr w14:paraId="393D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794" w:type="dxa"/>
            <w:vMerge w:val="continue"/>
          </w:tcPr>
          <w:p w14:paraId="68E5CA5E"/>
        </w:tc>
        <w:tc>
          <w:tcPr>
            <w:tcW w:w="5524" w:type="dxa"/>
          </w:tcPr>
          <w:p w14:paraId="7487CAD5">
            <w:pPr>
              <w:jc w:val="center"/>
            </w:pPr>
            <w:r>
              <w:rPr>
                <w:rFonts w:hint="eastAsia"/>
              </w:rPr>
              <w:t>客服</w:t>
            </w:r>
          </w:p>
        </w:tc>
      </w:tr>
      <w:tr w14:paraId="490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18" w:type="dxa"/>
            <w:gridSpan w:val="2"/>
          </w:tcPr>
          <w:p w14:paraId="38DC4FCE"/>
        </w:tc>
      </w:tr>
    </w:tbl>
    <w:p w14:paraId="75CC626C">
      <w:pPr>
        <w:pStyle w:val="2"/>
        <w:numPr>
          <w:ilvl w:val="0"/>
          <w:numId w:val="0"/>
        </w:numPr>
        <w:snapToGrid w:val="0"/>
        <w:spacing w:before="0" w:after="0" w:line="360" w:lineRule="auto"/>
        <w:rPr>
          <w:rFonts w:ascii="宋体" w:hAnsi="宋体"/>
          <w:sz w:val="24"/>
          <w:szCs w:val="24"/>
        </w:rPr>
      </w:pPr>
      <w:bookmarkStart w:id="19" w:name="_Toc5211"/>
    </w:p>
    <w:p w14:paraId="5347863F">
      <w:pPr>
        <w:pStyle w:val="2"/>
        <w:numPr>
          <w:ilvl w:val="0"/>
          <w:numId w:val="0"/>
        </w:numPr>
        <w:snapToGrid w:val="0"/>
        <w:spacing w:before="0" w:after="0" w:line="360" w:lineRule="auto"/>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3</w:t>
      </w:r>
      <w:r>
        <w:rPr>
          <w:rFonts w:ascii="宋体" w:hAnsi="宋体"/>
          <w:sz w:val="24"/>
          <w:szCs w:val="24"/>
        </w:rPr>
        <w:t>服务响应要求</w:t>
      </w:r>
      <w:bookmarkEnd w:id="19"/>
    </w:p>
    <w:p w14:paraId="3DEC44B4">
      <w:pPr>
        <w:pStyle w:val="4"/>
        <w:numPr>
          <w:ilvl w:val="0"/>
          <w:numId w:val="0"/>
        </w:numPr>
        <w:snapToGrid w:val="0"/>
        <w:spacing w:before="0" w:after="0" w:line="360" w:lineRule="auto"/>
        <w:ind w:firstLine="371" w:firstLineChars="176"/>
        <w:rPr>
          <w:rFonts w:ascii="宋体" w:hAnsi="宋体"/>
          <w:szCs w:val="24"/>
        </w:rPr>
      </w:pPr>
      <w:bookmarkStart w:id="20" w:name="_Toc222755492"/>
      <w:bookmarkStart w:id="21" w:name="_Toc222755195"/>
      <w:bookmarkStart w:id="22" w:name="_Toc231812922"/>
      <w:bookmarkStart w:id="23" w:name="_Toc212361495"/>
      <w:bookmarkStart w:id="24" w:name="_Toc260834786"/>
      <w:r>
        <w:rPr>
          <w:rFonts w:ascii="宋体" w:hAnsi="宋体"/>
          <w:szCs w:val="24"/>
        </w:rPr>
        <w:t>事故分级响应</w:t>
      </w:r>
      <w:bookmarkEnd w:id="20"/>
      <w:bookmarkEnd w:id="21"/>
      <w:bookmarkEnd w:id="22"/>
      <w:bookmarkEnd w:id="23"/>
      <w:r>
        <w:rPr>
          <w:rFonts w:ascii="宋体" w:hAnsi="宋体"/>
          <w:szCs w:val="24"/>
        </w:rPr>
        <w:t>服务时间</w:t>
      </w:r>
      <w:bookmarkEnd w:id="24"/>
    </w:p>
    <w:p w14:paraId="6932260D">
      <w:pPr>
        <w:snapToGrid w:val="0"/>
        <w:spacing w:line="360" w:lineRule="auto"/>
        <w:ind w:firstLine="560"/>
        <w:rPr>
          <w:rFonts w:asciiTheme="minorEastAsia" w:hAnsiTheme="minorEastAsia"/>
          <w:sz w:val="21"/>
          <w:szCs w:val="21"/>
        </w:rPr>
      </w:pPr>
      <w:r>
        <w:rPr>
          <w:rFonts w:asciiTheme="minorEastAsia" w:hAnsiTheme="minorEastAsia"/>
          <w:sz w:val="21"/>
          <w:szCs w:val="21"/>
        </w:rPr>
        <w:t>各级故障事件的最晚响应时间为：</w:t>
      </w:r>
    </w:p>
    <w:tbl>
      <w:tblPr>
        <w:tblStyle w:val="5"/>
        <w:tblW w:w="10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3015"/>
        <w:gridCol w:w="4050"/>
      </w:tblGrid>
      <w:tr w14:paraId="7EB1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tcBorders>
              <w:tl2br w:val="single" w:color="auto" w:sz="4" w:space="0"/>
            </w:tcBorders>
            <w:vAlign w:val="center"/>
          </w:tcPr>
          <w:p w14:paraId="2BE1C201">
            <w:pPr>
              <w:snapToGrid w:val="0"/>
              <w:spacing w:line="360" w:lineRule="auto"/>
              <w:jc w:val="center"/>
              <w:rPr>
                <w:rFonts w:hint="eastAsia" w:asciiTheme="minorEastAsia" w:hAnsiTheme="minorEastAsia"/>
                <w:sz w:val="21"/>
                <w:szCs w:val="21"/>
              </w:rPr>
            </w:pPr>
            <w:r>
              <w:rPr>
                <w:rFonts w:hint="eastAsia" w:asciiTheme="minorEastAsia" w:hAnsiTheme="minorEastAsia"/>
                <w:sz w:val="21"/>
                <w:szCs w:val="21"/>
              </w:rPr>
              <w:t xml:space="preserve">           故障等级</w:t>
            </w:r>
          </w:p>
          <w:p w14:paraId="229C7F15">
            <w:pPr>
              <w:snapToGrid w:val="0"/>
              <w:spacing w:line="360" w:lineRule="auto"/>
              <w:ind w:firstLine="420" w:firstLineChars="200"/>
              <w:rPr>
                <w:rFonts w:hint="eastAsia" w:asciiTheme="minorEastAsia" w:hAnsiTheme="minorEastAsia"/>
                <w:sz w:val="21"/>
                <w:szCs w:val="21"/>
              </w:rPr>
            </w:pPr>
            <w:r>
              <w:rPr>
                <w:rFonts w:hint="eastAsia" w:asciiTheme="minorEastAsia" w:hAnsiTheme="minorEastAsia"/>
                <w:sz w:val="21"/>
                <w:szCs w:val="21"/>
              </w:rPr>
              <w:t>响应时间</w:t>
            </w:r>
          </w:p>
        </w:tc>
        <w:tc>
          <w:tcPr>
            <w:tcW w:w="3015" w:type="dxa"/>
            <w:vAlign w:val="center"/>
          </w:tcPr>
          <w:p w14:paraId="097273D0">
            <w:pPr>
              <w:snapToGrid w:val="0"/>
              <w:spacing w:line="360" w:lineRule="auto"/>
              <w:jc w:val="center"/>
              <w:rPr>
                <w:rFonts w:hint="eastAsia" w:asciiTheme="minorEastAsia" w:hAnsiTheme="minorEastAsia"/>
                <w:sz w:val="21"/>
                <w:szCs w:val="21"/>
              </w:rPr>
            </w:pPr>
            <w:r>
              <w:rPr>
                <w:rFonts w:hint="eastAsia" w:asciiTheme="minorEastAsia" w:hAnsiTheme="minorEastAsia"/>
                <w:sz w:val="21"/>
                <w:szCs w:val="21"/>
              </w:rPr>
              <w:t>一级故障事件/二级故障事件</w:t>
            </w:r>
          </w:p>
        </w:tc>
        <w:tc>
          <w:tcPr>
            <w:tcW w:w="4050" w:type="dxa"/>
            <w:vAlign w:val="center"/>
          </w:tcPr>
          <w:p w14:paraId="347066E4">
            <w:pPr>
              <w:snapToGrid w:val="0"/>
              <w:spacing w:line="360" w:lineRule="auto"/>
              <w:jc w:val="center"/>
              <w:rPr>
                <w:rFonts w:hint="eastAsia" w:asciiTheme="minorEastAsia" w:hAnsiTheme="minorEastAsia"/>
                <w:sz w:val="21"/>
                <w:szCs w:val="21"/>
              </w:rPr>
            </w:pPr>
            <w:r>
              <w:rPr>
                <w:rFonts w:hint="eastAsia" w:asciiTheme="minorEastAsia" w:hAnsiTheme="minorEastAsia"/>
                <w:sz w:val="21"/>
                <w:szCs w:val="21"/>
              </w:rPr>
              <w:t>三级故障事件/四级故障事件</w:t>
            </w:r>
          </w:p>
        </w:tc>
      </w:tr>
      <w:tr w14:paraId="5607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Merge w:val="restart"/>
          </w:tcPr>
          <w:p w14:paraId="550C8B8F">
            <w:pPr>
              <w:snapToGrid w:val="0"/>
              <w:jc w:val="center"/>
              <w:rPr>
                <w:rFonts w:asciiTheme="minorEastAsia" w:hAnsiTheme="minorEastAsia"/>
                <w:sz w:val="21"/>
                <w:szCs w:val="21"/>
              </w:rPr>
            </w:pPr>
            <w:r>
              <w:rPr>
                <w:rFonts w:asciiTheme="minorEastAsia" w:hAnsiTheme="minorEastAsia"/>
                <w:sz w:val="21"/>
                <w:szCs w:val="21"/>
              </w:rPr>
              <w:t>15</w:t>
            </w:r>
            <w:r>
              <w:rPr>
                <w:rFonts w:hint="eastAsia" w:asciiTheme="minorEastAsia" w:hAnsiTheme="minorEastAsia"/>
                <w:sz w:val="21"/>
                <w:szCs w:val="21"/>
              </w:rPr>
              <w:t>-30</w:t>
            </w:r>
            <w:r>
              <w:rPr>
                <w:rFonts w:asciiTheme="minorEastAsia" w:hAnsiTheme="minorEastAsia"/>
                <w:sz w:val="21"/>
                <w:szCs w:val="21"/>
              </w:rPr>
              <w:t>分钟内响应</w:t>
            </w:r>
            <w:r>
              <w:rPr>
                <w:rFonts w:hint="eastAsia" w:asciiTheme="minorEastAsia" w:hAnsiTheme="minorEastAsia"/>
                <w:sz w:val="21"/>
                <w:szCs w:val="21"/>
              </w:rPr>
              <w:t>，2-8小时内修复故障</w:t>
            </w:r>
          </w:p>
        </w:tc>
        <w:tc>
          <w:tcPr>
            <w:tcW w:w="3015" w:type="dxa"/>
          </w:tcPr>
          <w:p w14:paraId="381AC53C">
            <w:pPr>
              <w:snapToGrid w:val="0"/>
              <w:spacing w:line="360" w:lineRule="auto"/>
              <w:jc w:val="center"/>
              <w:rPr>
                <w:rFonts w:asciiTheme="minorEastAsia" w:hAnsiTheme="minorEastAsia"/>
                <w:sz w:val="21"/>
                <w:szCs w:val="21"/>
              </w:rPr>
            </w:pPr>
            <w:r>
              <w:rPr>
                <w:rFonts w:asciiTheme="minorEastAsia" w:hAnsiTheme="minorEastAsia"/>
                <w:sz w:val="21"/>
                <w:szCs w:val="21"/>
              </w:rPr>
              <w:t>服务项目经理</w:t>
            </w:r>
            <w:r>
              <w:rPr>
                <w:rFonts w:hint="eastAsia" w:asciiTheme="minorEastAsia" w:hAnsiTheme="minorEastAsia"/>
                <w:sz w:val="21"/>
                <w:szCs w:val="21"/>
              </w:rPr>
              <w:t>/总工</w:t>
            </w:r>
          </w:p>
        </w:tc>
        <w:tc>
          <w:tcPr>
            <w:tcW w:w="4050" w:type="dxa"/>
          </w:tcPr>
          <w:p w14:paraId="79405406">
            <w:pPr>
              <w:snapToGrid w:val="0"/>
              <w:spacing w:line="360" w:lineRule="auto"/>
              <w:jc w:val="center"/>
              <w:rPr>
                <w:rFonts w:asciiTheme="minorEastAsia" w:hAnsiTheme="minorEastAsia"/>
                <w:sz w:val="21"/>
                <w:szCs w:val="21"/>
              </w:rPr>
            </w:pPr>
          </w:p>
        </w:tc>
      </w:tr>
      <w:tr w14:paraId="0A45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Merge w:val="continue"/>
          </w:tcPr>
          <w:p w14:paraId="3BAA2AA5">
            <w:pPr>
              <w:snapToGrid w:val="0"/>
              <w:spacing w:line="360" w:lineRule="auto"/>
              <w:jc w:val="center"/>
              <w:rPr>
                <w:rFonts w:asciiTheme="minorEastAsia" w:hAnsiTheme="minorEastAsia"/>
                <w:sz w:val="21"/>
                <w:szCs w:val="21"/>
              </w:rPr>
            </w:pPr>
          </w:p>
        </w:tc>
        <w:tc>
          <w:tcPr>
            <w:tcW w:w="3015" w:type="dxa"/>
          </w:tcPr>
          <w:p w14:paraId="3916ADC5">
            <w:pPr>
              <w:snapToGrid w:val="0"/>
              <w:spacing w:line="360" w:lineRule="auto"/>
              <w:jc w:val="center"/>
              <w:rPr>
                <w:rFonts w:asciiTheme="minorEastAsia" w:hAnsiTheme="minorEastAsia"/>
                <w:sz w:val="21"/>
                <w:szCs w:val="21"/>
              </w:rPr>
            </w:pPr>
            <w:r>
              <w:rPr>
                <w:rFonts w:asciiTheme="minorEastAsia" w:hAnsiTheme="minorEastAsia"/>
                <w:sz w:val="21"/>
                <w:szCs w:val="21"/>
              </w:rPr>
              <w:t>专业工程师</w:t>
            </w:r>
          </w:p>
        </w:tc>
        <w:tc>
          <w:tcPr>
            <w:tcW w:w="4050" w:type="dxa"/>
          </w:tcPr>
          <w:p w14:paraId="2EF5BBD8">
            <w:pPr>
              <w:snapToGrid w:val="0"/>
              <w:spacing w:line="360" w:lineRule="auto"/>
              <w:jc w:val="center"/>
              <w:rPr>
                <w:rFonts w:asciiTheme="minorEastAsia" w:hAnsiTheme="minorEastAsia"/>
                <w:sz w:val="21"/>
                <w:szCs w:val="21"/>
              </w:rPr>
            </w:pPr>
          </w:p>
        </w:tc>
      </w:tr>
      <w:tr w14:paraId="4980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Merge w:val="restart"/>
          </w:tcPr>
          <w:p w14:paraId="1006ECEA">
            <w:pPr>
              <w:snapToGrid w:val="0"/>
              <w:spacing w:line="360" w:lineRule="auto"/>
              <w:jc w:val="center"/>
              <w:rPr>
                <w:rFonts w:asciiTheme="minorEastAsia" w:hAnsiTheme="minorEastAsia"/>
                <w:sz w:val="21"/>
                <w:szCs w:val="21"/>
              </w:rPr>
            </w:pPr>
            <w:r>
              <w:rPr>
                <w:rFonts w:asciiTheme="minorEastAsia" w:hAnsiTheme="minorEastAsia"/>
                <w:sz w:val="21"/>
                <w:szCs w:val="21"/>
              </w:rPr>
              <w:t>工作日内响应，最迟</w:t>
            </w:r>
            <w:r>
              <w:rPr>
                <w:rFonts w:hint="eastAsia" w:asciiTheme="minorEastAsia" w:hAnsiTheme="minorEastAsia"/>
                <w:sz w:val="21"/>
                <w:szCs w:val="21"/>
              </w:rPr>
              <w:t>48小时内修复故障</w:t>
            </w:r>
          </w:p>
        </w:tc>
        <w:tc>
          <w:tcPr>
            <w:tcW w:w="3015" w:type="dxa"/>
          </w:tcPr>
          <w:p w14:paraId="69D26C0A">
            <w:pPr>
              <w:snapToGrid w:val="0"/>
              <w:spacing w:line="360" w:lineRule="auto"/>
              <w:jc w:val="center"/>
              <w:rPr>
                <w:rFonts w:asciiTheme="minorEastAsia" w:hAnsiTheme="minorEastAsia"/>
                <w:sz w:val="21"/>
                <w:szCs w:val="21"/>
              </w:rPr>
            </w:pPr>
          </w:p>
        </w:tc>
        <w:tc>
          <w:tcPr>
            <w:tcW w:w="4050" w:type="dxa"/>
          </w:tcPr>
          <w:p w14:paraId="517F1670">
            <w:pPr>
              <w:snapToGrid w:val="0"/>
              <w:spacing w:line="360" w:lineRule="auto"/>
              <w:jc w:val="center"/>
              <w:rPr>
                <w:rFonts w:asciiTheme="minorEastAsia" w:hAnsiTheme="minorEastAsia"/>
                <w:sz w:val="21"/>
                <w:szCs w:val="21"/>
              </w:rPr>
            </w:pPr>
            <w:r>
              <w:rPr>
                <w:rFonts w:asciiTheme="minorEastAsia" w:hAnsiTheme="minorEastAsia"/>
                <w:sz w:val="21"/>
                <w:szCs w:val="21"/>
              </w:rPr>
              <w:t>专业工程</w:t>
            </w:r>
            <w:r>
              <w:rPr>
                <w:rFonts w:hint="eastAsia" w:asciiTheme="minorEastAsia" w:hAnsiTheme="minorEastAsia"/>
                <w:sz w:val="21"/>
                <w:szCs w:val="21"/>
              </w:rPr>
              <w:t>/服务项目经理</w:t>
            </w:r>
          </w:p>
        </w:tc>
      </w:tr>
      <w:tr w14:paraId="73B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Merge w:val="continue"/>
          </w:tcPr>
          <w:p w14:paraId="2F28C378">
            <w:pPr>
              <w:snapToGrid w:val="0"/>
              <w:jc w:val="center"/>
              <w:rPr>
                <w:rFonts w:asciiTheme="minorEastAsia" w:hAnsiTheme="minorEastAsia"/>
                <w:sz w:val="21"/>
                <w:szCs w:val="21"/>
              </w:rPr>
            </w:pPr>
          </w:p>
        </w:tc>
        <w:tc>
          <w:tcPr>
            <w:tcW w:w="3015" w:type="dxa"/>
          </w:tcPr>
          <w:p w14:paraId="03AC4E68">
            <w:pPr>
              <w:snapToGrid w:val="0"/>
              <w:spacing w:line="360" w:lineRule="auto"/>
              <w:rPr>
                <w:rFonts w:asciiTheme="minorEastAsia" w:hAnsiTheme="minorEastAsia"/>
                <w:sz w:val="21"/>
                <w:szCs w:val="21"/>
              </w:rPr>
            </w:pPr>
          </w:p>
        </w:tc>
        <w:tc>
          <w:tcPr>
            <w:tcW w:w="4050" w:type="dxa"/>
          </w:tcPr>
          <w:p w14:paraId="14E284B0">
            <w:pPr>
              <w:snapToGrid w:val="0"/>
              <w:spacing w:line="360" w:lineRule="auto"/>
              <w:jc w:val="center"/>
              <w:rPr>
                <w:rFonts w:asciiTheme="minorEastAsia" w:hAnsiTheme="minorEastAsia"/>
                <w:sz w:val="21"/>
                <w:szCs w:val="21"/>
              </w:rPr>
            </w:pPr>
            <w:r>
              <w:rPr>
                <w:rFonts w:asciiTheme="minorEastAsia" w:hAnsiTheme="minorEastAsia"/>
                <w:sz w:val="21"/>
                <w:szCs w:val="21"/>
              </w:rPr>
              <w:t>技术服务人员</w:t>
            </w:r>
          </w:p>
        </w:tc>
      </w:tr>
    </w:tbl>
    <w:p w14:paraId="20EF6F9B"/>
    <w:p w14:paraId="249F47F2">
      <w:pPr>
        <w:snapToGrid w:val="0"/>
        <w:ind w:firstLine="560"/>
        <w:rPr>
          <w:rFonts w:ascii="宋体" w:hAnsi="宋体"/>
        </w:rPr>
      </w:pPr>
      <w:r>
        <w:rPr>
          <w:rFonts w:ascii="宋体" w:hAnsi="宋体"/>
        </w:rPr>
        <w:t>故障事件等级划分如下：</w:t>
      </w:r>
    </w:p>
    <w:p w14:paraId="18BBA299">
      <w:pPr>
        <w:numPr>
          <w:ilvl w:val="0"/>
          <w:numId w:val="5"/>
        </w:numPr>
        <w:snapToGrid w:val="0"/>
        <w:rPr>
          <w:rFonts w:ascii="宋体" w:hAnsi="宋体"/>
        </w:rPr>
      </w:pPr>
      <w:r>
        <w:rPr>
          <w:rFonts w:ascii="宋体" w:hAnsi="宋体"/>
        </w:rPr>
        <w:t>一级故障事件：现有的网络或系统停机，或遭到严重攻击行为或安全事件，对信息系统的业务运作有重大影响；</w:t>
      </w:r>
    </w:p>
    <w:p w14:paraId="5BF60813">
      <w:pPr>
        <w:numPr>
          <w:ilvl w:val="0"/>
          <w:numId w:val="5"/>
        </w:numPr>
        <w:snapToGrid w:val="0"/>
        <w:rPr>
          <w:rFonts w:ascii="宋体" w:hAnsi="宋体"/>
        </w:rPr>
      </w:pPr>
      <w:r>
        <w:rPr>
          <w:rFonts w:ascii="宋体" w:hAnsi="宋体"/>
        </w:rPr>
        <w:t>二级故障事件：现有网络或系统的操作性能严重降级，或由于网络性能失常或安全事件严重影响信息系统用户业务运作；</w:t>
      </w:r>
    </w:p>
    <w:p w14:paraId="3B1E937E">
      <w:pPr>
        <w:numPr>
          <w:ilvl w:val="0"/>
          <w:numId w:val="5"/>
        </w:numPr>
        <w:snapToGrid w:val="0"/>
        <w:rPr>
          <w:rFonts w:ascii="宋体" w:hAnsi="宋体"/>
        </w:rPr>
      </w:pPr>
      <w:r>
        <w:rPr>
          <w:rFonts w:ascii="宋体" w:hAnsi="宋体"/>
        </w:rPr>
        <w:t>三级故障事件：网络或系统的操作性能受损，安全事件（例如病毒在小范围内发作），但大部分业务运作仍可正常工作；</w:t>
      </w:r>
    </w:p>
    <w:p w14:paraId="32EA54B8">
      <w:pPr>
        <w:numPr>
          <w:ilvl w:val="0"/>
          <w:numId w:val="5"/>
        </w:numPr>
        <w:snapToGrid w:val="0"/>
        <w:rPr>
          <w:rFonts w:ascii="宋体" w:hAnsi="宋体"/>
        </w:rPr>
      </w:pPr>
      <w:r>
        <w:rPr>
          <w:rFonts w:ascii="宋体" w:hAnsi="宋体"/>
        </w:rPr>
        <w:t>四级故障事件：在网络、安装或配置方面需要调整或优化。本级故障事件对信息系统的业务运作几乎无影响，或影响很小。</w:t>
      </w:r>
    </w:p>
    <w:p w14:paraId="78512DB9">
      <w:pPr>
        <w:snapToGrid w:val="0"/>
        <w:ind w:firstLine="560"/>
        <w:rPr>
          <w:rFonts w:ascii="宋体" w:hAnsi="宋体"/>
        </w:rPr>
      </w:pPr>
      <w:r>
        <w:rPr>
          <w:rFonts w:ascii="宋体" w:hAnsi="宋体"/>
        </w:rPr>
        <w:t>依据事故重要性和紧急性的原则，每一级事故严格定义升级时间为2小时，其中在二级事故和一级事故应急处理过程中，要及时考虑替代恢复方案，尽可能在最短的时间内恢复业务系统。其中三级事故的处理，驻场服务人员在事故响应1个小时内，如果不能快速判断问题所在，可以寻求整个服务团队的支持。在一、二级事故判断中，服务人员在监控中发现问题，一方面应迅速将问题向部门领导进行反应，一方面须快速判断问题和收集事故信息，涉及到具体产品提供商或服务商内，及时告知客户协调相关厂商现场支持。为保障业务平台的正常运行，除对突发故障的应急支持外，要充分保障日常对业务系统软硬件的应急灾备恢复预案，并通过定期的演练加强应对突发事故的意识和流程。</w:t>
      </w:r>
    </w:p>
    <w:p w14:paraId="7FB78D6B">
      <w:pPr>
        <w:pStyle w:val="2"/>
        <w:numPr>
          <w:ilvl w:val="0"/>
          <w:numId w:val="0"/>
        </w:numPr>
        <w:snapToGrid w:val="0"/>
        <w:spacing w:before="0" w:after="0" w:line="360" w:lineRule="auto"/>
        <w:rPr>
          <w:rFonts w:ascii="宋体" w:hAnsi="宋体"/>
          <w:sz w:val="24"/>
          <w:szCs w:val="24"/>
        </w:rPr>
      </w:pPr>
      <w:bookmarkStart w:id="25" w:name="_Toc222755178"/>
      <w:bookmarkStart w:id="26" w:name="_Toc231812905"/>
      <w:bookmarkStart w:id="27" w:name="_Toc222755475"/>
      <w:bookmarkStart w:id="28" w:name="_Toc260834777"/>
      <w:bookmarkStart w:id="29" w:name="_Toc24141"/>
      <w:r>
        <w:rPr>
          <w:rFonts w:hint="eastAsia" w:ascii="宋体" w:hAnsi="宋体"/>
          <w:sz w:val="24"/>
          <w:szCs w:val="24"/>
        </w:rPr>
        <w:t>3</w:t>
      </w:r>
      <w:r>
        <w:rPr>
          <w:rFonts w:ascii="宋体" w:hAnsi="宋体"/>
          <w:sz w:val="24"/>
          <w:szCs w:val="24"/>
        </w:rPr>
        <w:t>.</w:t>
      </w:r>
      <w:r>
        <w:rPr>
          <w:rFonts w:hint="eastAsia" w:ascii="宋体" w:hAnsi="宋体"/>
          <w:sz w:val="24"/>
          <w:szCs w:val="24"/>
        </w:rPr>
        <w:t>4</w:t>
      </w:r>
      <w:r>
        <w:rPr>
          <w:rFonts w:ascii="宋体" w:hAnsi="宋体"/>
          <w:sz w:val="24"/>
          <w:szCs w:val="24"/>
        </w:rPr>
        <w:t>运维保障资源库</w:t>
      </w:r>
      <w:bookmarkEnd w:id="25"/>
      <w:bookmarkEnd w:id="26"/>
      <w:bookmarkEnd w:id="27"/>
      <w:bookmarkEnd w:id="28"/>
      <w:r>
        <w:rPr>
          <w:rFonts w:ascii="宋体" w:hAnsi="宋体"/>
          <w:sz w:val="24"/>
          <w:szCs w:val="24"/>
        </w:rPr>
        <w:t>建设要求</w:t>
      </w:r>
      <w:bookmarkEnd w:id="29"/>
    </w:p>
    <w:p w14:paraId="55718AF9">
      <w:pPr>
        <w:snapToGrid w:val="0"/>
        <w:ind w:firstLine="480"/>
        <w:rPr>
          <w:rFonts w:ascii="宋体" w:hAnsi="宋体"/>
        </w:rPr>
      </w:pPr>
      <w:r>
        <w:rPr>
          <w:rFonts w:ascii="宋体" w:hAnsi="宋体"/>
        </w:rPr>
        <w:t>在运维工作开展前期，把有助于用户运维的相关资料进行收集整理，以确保在实际运维过程中不会由于缺少沟通或者遗漏部分环节导致的问题处理延迟，具体保障资源如下：</w:t>
      </w:r>
    </w:p>
    <w:p w14:paraId="420C8DCF">
      <w:pPr>
        <w:numPr>
          <w:ilvl w:val="0"/>
          <w:numId w:val="6"/>
        </w:numPr>
        <w:snapToGrid w:val="0"/>
        <w:rPr>
          <w:rFonts w:ascii="宋体" w:hAnsi="宋体"/>
        </w:rPr>
      </w:pPr>
      <w:r>
        <w:rPr>
          <w:rFonts w:ascii="宋体" w:hAnsi="宋体"/>
        </w:rPr>
        <w:t>机房设备相关资料收集：</w:t>
      </w:r>
    </w:p>
    <w:p w14:paraId="5D035E45">
      <w:pPr>
        <w:snapToGrid w:val="0"/>
        <w:ind w:firstLine="480"/>
        <w:rPr>
          <w:rFonts w:ascii="宋体" w:hAnsi="宋体"/>
        </w:rPr>
      </w:pPr>
      <w:r>
        <w:rPr>
          <w:rFonts w:ascii="宋体" w:hAnsi="宋体"/>
        </w:rPr>
        <w:t>整理各设备相关管理人员联系方式、设备物理位置等，书面文档与电子文档相结合，以确保出现设备故障或需要远程支持时能在第一时间联系到具体负责人，及早完成设备故障处理工作。</w:t>
      </w:r>
    </w:p>
    <w:p w14:paraId="2A4CF400">
      <w:pPr>
        <w:numPr>
          <w:ilvl w:val="0"/>
          <w:numId w:val="6"/>
        </w:numPr>
        <w:snapToGrid w:val="0"/>
        <w:rPr>
          <w:rFonts w:ascii="宋体" w:hAnsi="宋体"/>
        </w:rPr>
      </w:pPr>
      <w:r>
        <w:rPr>
          <w:rFonts w:ascii="宋体" w:hAnsi="宋体"/>
        </w:rPr>
        <w:t>设备操作文档收集：</w:t>
      </w:r>
    </w:p>
    <w:p w14:paraId="277F1FD7">
      <w:pPr>
        <w:snapToGrid w:val="0"/>
        <w:ind w:firstLine="480"/>
        <w:rPr>
          <w:rFonts w:ascii="宋体" w:hAnsi="宋体"/>
        </w:rPr>
      </w:pPr>
      <w:r>
        <w:rPr>
          <w:rFonts w:ascii="宋体" w:hAnsi="宋体"/>
        </w:rPr>
        <w:t>整理设备有关的操作文档，并整理成册，书面文档与电子文档相结合，辅助工程师处理相关问题。</w:t>
      </w:r>
    </w:p>
    <w:p w14:paraId="717C5FAA">
      <w:pPr>
        <w:numPr>
          <w:ilvl w:val="0"/>
          <w:numId w:val="6"/>
        </w:numPr>
        <w:snapToGrid w:val="0"/>
        <w:rPr>
          <w:rFonts w:ascii="宋体" w:hAnsi="宋体"/>
        </w:rPr>
      </w:pPr>
      <w:r>
        <w:rPr>
          <w:rFonts w:ascii="宋体" w:hAnsi="宋体"/>
        </w:rPr>
        <w:t>设备配置库整理汇总：</w:t>
      </w:r>
    </w:p>
    <w:p w14:paraId="09A94DD6">
      <w:pPr>
        <w:snapToGrid w:val="0"/>
        <w:ind w:firstLine="480"/>
        <w:rPr>
          <w:rFonts w:ascii="宋体" w:hAnsi="宋体"/>
        </w:rPr>
      </w:pPr>
      <w:r>
        <w:rPr>
          <w:rFonts w:ascii="宋体" w:hAnsi="宋体"/>
        </w:rPr>
        <w:t>整理所有设备原始配置资料，整理入库，且在修改设备配置后及时对录入的数据进行更新，以确保设备配置的准确性及安全性。</w:t>
      </w:r>
    </w:p>
    <w:p w14:paraId="1E032357">
      <w:pPr>
        <w:numPr>
          <w:ilvl w:val="0"/>
          <w:numId w:val="6"/>
        </w:numPr>
        <w:snapToGrid w:val="0"/>
        <w:rPr>
          <w:rFonts w:ascii="宋体" w:hAnsi="宋体"/>
        </w:rPr>
      </w:pPr>
      <w:r>
        <w:rPr>
          <w:rFonts w:hint="eastAsia" w:ascii="宋体" w:hAnsi="宋体"/>
        </w:rPr>
        <w:t>运维知识库的建立和维护</w:t>
      </w:r>
      <w:r>
        <w:rPr>
          <w:rFonts w:ascii="宋体" w:hAnsi="宋体"/>
        </w:rPr>
        <w:t>：</w:t>
      </w:r>
    </w:p>
    <w:p w14:paraId="2F11CD50">
      <w:pPr>
        <w:snapToGrid w:val="0"/>
        <w:ind w:firstLine="480"/>
        <w:rPr>
          <w:rFonts w:hint="eastAsia" w:ascii="宋体" w:hAnsi="宋体"/>
        </w:rPr>
      </w:pPr>
      <w:r>
        <w:rPr>
          <w:rFonts w:hint="eastAsia" w:ascii="宋体" w:hAnsi="宋体"/>
        </w:rPr>
        <w:t>收集维护过程中出现的各类资料，进行分类整理入库，为维护工作提供知识库。</w:t>
      </w:r>
    </w:p>
    <w:p w14:paraId="69C0688F">
      <w:pPr>
        <w:snapToGrid w:val="0"/>
        <w:ind w:firstLine="480"/>
        <w:rPr>
          <w:rFonts w:hint="eastAsia" w:ascii="宋体" w:hAnsi="宋体"/>
        </w:rPr>
      </w:pPr>
    </w:p>
    <w:bookmarkEnd w:id="4"/>
    <w:p w14:paraId="1C4D6BEB"/>
    <w:p w14:paraId="00E0FF8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006D2"/>
    <w:multiLevelType w:val="singleLevel"/>
    <w:tmpl w:val="AA5006D2"/>
    <w:lvl w:ilvl="0" w:tentative="0">
      <w:start w:val="1"/>
      <w:numFmt w:val="decimal"/>
      <w:suff w:val="nothing"/>
      <w:lvlText w:val="（%1）"/>
      <w:lvlJc w:val="left"/>
    </w:lvl>
  </w:abstractNum>
  <w:abstractNum w:abstractNumId="1">
    <w:nsid w:val="0D373B01"/>
    <w:multiLevelType w:val="multilevel"/>
    <w:tmpl w:val="0D373B01"/>
    <w:lvl w:ilvl="0" w:tentative="0">
      <w:start w:val="1"/>
      <w:numFmt w:val="decimal"/>
      <w:suff w:val="space"/>
      <w:lvlText w:val="2.%1"/>
      <w:lvlJc w:val="left"/>
      <w:pPr>
        <w:ind w:left="420" w:hanging="420"/>
      </w:pPr>
      <w:rPr>
        <w:rFonts w:hint="eastAsia" w:ascii="宋体" w:hAnsi="宋体"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F9087B"/>
    <w:multiLevelType w:val="multilevel"/>
    <w:tmpl w:val="0EF9087B"/>
    <w:lvl w:ilvl="0" w:tentative="0">
      <w:start w:val="1"/>
      <w:numFmt w:val="decimal"/>
      <w:suff w:val="space"/>
      <w:lvlText w:val="第 %1 章"/>
      <w:lvlJc w:val="left"/>
      <w:pPr>
        <w:ind w:left="0" w:firstLine="0"/>
      </w:pPr>
      <w:rPr>
        <w:rFonts w:hint="default" w:ascii="Times New Roman" w:hAnsi="Times New Roman" w:eastAsia="黑体"/>
        <w:b/>
        <w:i w:val="0"/>
        <w:sz w:val="32"/>
        <w:szCs w:val="32"/>
      </w:rPr>
    </w:lvl>
    <w:lvl w:ilvl="1" w:tentative="0">
      <w:start w:val="1"/>
      <w:numFmt w:val="decimal"/>
      <w:lvlText w:val="%2."/>
      <w:lvlJc w:val="left"/>
      <w:pPr>
        <w:ind w:left="0" w:firstLine="0"/>
      </w:pPr>
      <w:rPr>
        <w:rFonts w:hint="default"/>
        <w:b/>
        <w:i w:val="0"/>
        <w:sz w:val="32"/>
        <w:szCs w:val="32"/>
      </w:rPr>
    </w:lvl>
    <w:lvl w:ilvl="2" w:tentative="0">
      <w:start w:val="1"/>
      <w:numFmt w:val="decimal"/>
      <w:pStyle w:val="2"/>
      <w:suff w:val="space"/>
      <w:lvlText w:val="%1.%2.%3"/>
      <w:lvlJc w:val="left"/>
      <w:pPr>
        <w:ind w:left="0" w:firstLine="0"/>
      </w:pPr>
      <w:rPr>
        <w:rFonts w:hint="default" w:ascii="Times New Roman" w:hAnsi="Times New Roman" w:eastAsia="宋体"/>
        <w:b/>
        <w:i w:val="0"/>
        <w:sz w:val="28"/>
        <w:szCs w:val="28"/>
      </w:rPr>
    </w:lvl>
    <w:lvl w:ilvl="3" w:tentative="0">
      <w:start w:val="1"/>
      <w:numFmt w:val="decimal"/>
      <w:pStyle w:val="3"/>
      <w:suff w:val="space"/>
      <w:lvlText w:val="%1.%2.%3.%4"/>
      <w:lvlJc w:val="left"/>
      <w:pPr>
        <w:ind w:left="0" w:firstLine="0"/>
      </w:pPr>
      <w:rPr>
        <w:rFonts w:hint="default" w:ascii="Times New Roman" w:hAnsi="Times New Roman" w:eastAsia="宋体"/>
        <w:b/>
        <w:i w:val="0"/>
        <w:sz w:val="24"/>
        <w:szCs w:val="24"/>
      </w:rPr>
    </w:lvl>
    <w:lvl w:ilvl="4" w:tentative="0">
      <w:start w:val="1"/>
      <w:numFmt w:val="decimal"/>
      <w:pStyle w:val="4"/>
      <w:suff w:val="space"/>
      <w:lvlText w:val="%1.%2.%3.%4.%5"/>
      <w:lvlJc w:val="left"/>
      <w:pPr>
        <w:ind w:left="0" w:firstLine="0"/>
      </w:pPr>
      <w:rPr>
        <w:rFonts w:hint="default" w:ascii="Times New Roman" w:hAnsi="Times New Roman" w:eastAsia="宋体"/>
        <w:b w:val="0"/>
        <w:i w:val="0"/>
        <w:sz w:val="24"/>
        <w:szCs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5495109"/>
    <w:multiLevelType w:val="multilevel"/>
    <w:tmpl w:val="15495109"/>
    <w:lvl w:ilvl="0" w:tentative="0">
      <w:start w:val="1"/>
      <w:numFmt w:val="bullet"/>
      <w:lvlText w:val=""/>
      <w:lvlJc w:val="left"/>
      <w:pPr>
        <w:tabs>
          <w:tab w:val="left" w:pos="982"/>
        </w:tabs>
        <w:ind w:left="982" w:hanging="420"/>
      </w:pPr>
      <w:rPr>
        <w:rFonts w:hint="default" w:ascii="Wingdings" w:hAnsi="Wingdings"/>
        <w:kern w:val="2"/>
        <w:sz w:val="24"/>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4E1D7FE6"/>
    <w:multiLevelType w:val="multilevel"/>
    <w:tmpl w:val="4E1D7FE6"/>
    <w:lvl w:ilvl="0" w:tentative="0">
      <w:start w:val="1"/>
      <w:numFmt w:val="bullet"/>
      <w:lvlText w:val=""/>
      <w:lvlJc w:val="left"/>
      <w:pPr>
        <w:tabs>
          <w:tab w:val="left" w:pos="980"/>
        </w:tabs>
        <w:ind w:left="980" w:hanging="420"/>
      </w:pPr>
      <w:rPr>
        <w:rFonts w:hint="default" w:ascii="Wingdings" w:hAnsi="Wingdings"/>
      </w:rPr>
    </w:lvl>
    <w:lvl w:ilvl="1" w:tentative="0">
      <w:start w:val="1"/>
      <w:numFmt w:val="decimal"/>
      <w:lvlText w:val="（%2）"/>
      <w:lvlJc w:val="left"/>
      <w:pPr>
        <w:tabs>
          <w:tab w:val="left" w:pos="1287"/>
        </w:tabs>
        <w:ind w:left="1287" w:hanging="720"/>
      </w:pPr>
      <w:rPr>
        <w:rFonts w:hint="eastAsia"/>
        <w:u w:val="none"/>
        <w:lang w:val="en-US"/>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55E163A0"/>
    <w:multiLevelType w:val="multilevel"/>
    <w:tmpl w:val="55E163A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60E46"/>
    <w:rsid w:val="6B05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numPr>
        <w:ilvl w:val="2"/>
        <w:numId w:val="1"/>
      </w:numPr>
      <w:spacing w:before="260" w:after="260" w:line="416" w:lineRule="auto"/>
      <w:outlineLvl w:val="2"/>
    </w:pPr>
    <w:rPr>
      <w:rFonts w:ascii="Times New Roman" w:hAnsi="Times New Roman" w:eastAsia="宋体" w:cs="Times New Roman"/>
      <w:b/>
      <w:bCs/>
      <w:kern w:val="2"/>
      <w:sz w:val="28"/>
      <w:szCs w:val="32"/>
      <w:lang w:val="en-US" w:eastAsia="zh-CN" w:bidi="ar-SA"/>
    </w:rPr>
  </w:style>
  <w:style w:type="paragraph" w:styleId="3">
    <w:name w:val="heading 4"/>
    <w:basedOn w:val="1"/>
    <w:next w:val="1"/>
    <w:qFormat/>
    <w:uiPriority w:val="0"/>
    <w:pPr>
      <w:keepNext/>
      <w:keepLines/>
      <w:numPr>
        <w:ilvl w:val="3"/>
        <w:numId w:val="1"/>
      </w:numPr>
      <w:spacing w:before="280" w:after="290" w:line="376" w:lineRule="auto"/>
      <w:outlineLvl w:val="3"/>
    </w:pPr>
    <w:rPr>
      <w:rFonts w:ascii="Arial" w:hAnsi="Arial"/>
      <w:b/>
      <w:bCs/>
      <w:szCs w:val="28"/>
    </w:rPr>
  </w:style>
  <w:style w:type="paragraph" w:styleId="4">
    <w:name w:val="heading 5"/>
    <w:basedOn w:val="1"/>
    <w:next w:val="1"/>
    <w:qFormat/>
    <w:uiPriority w:val="0"/>
    <w:pPr>
      <w:keepNext/>
      <w:keepLines/>
      <w:numPr>
        <w:ilvl w:val="4"/>
        <w:numId w:val="1"/>
      </w:numPr>
      <w:spacing w:before="280" w:after="290" w:line="376" w:lineRule="auto"/>
      <w:outlineLvl w:val="4"/>
    </w:pPr>
    <w:rPr>
      <w:b/>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font31"/>
    <w:basedOn w:val="6"/>
    <w:qFormat/>
    <w:uiPriority w:val="0"/>
    <w:rPr>
      <w:rFonts w:hint="default" w:ascii="Arial" w:hAnsi="Arial" w:cs="Arial"/>
      <w:color w:val="000000"/>
      <w:sz w:val="18"/>
      <w:szCs w:val="18"/>
      <w:u w:val="none"/>
    </w:rPr>
  </w:style>
  <w:style w:type="character" w:customStyle="1" w:styleId="8">
    <w:name w:val="font61"/>
    <w:basedOn w:val="6"/>
    <w:qFormat/>
    <w:uiPriority w:val="0"/>
    <w:rPr>
      <w:rFonts w:hint="eastAsia" w:ascii="宋体" w:hAnsi="宋体" w:eastAsia="宋体" w:cs="宋体"/>
      <w:color w:val="000000"/>
      <w:sz w:val="18"/>
      <w:szCs w:val="18"/>
      <w:u w:val="none"/>
    </w:rPr>
  </w:style>
  <w:style w:type="paragraph" w:customStyle="1" w:styleId="9">
    <w:name w:val="样式 首行缩进:  2 字符"/>
    <w:basedOn w:val="1"/>
    <w:qFormat/>
    <w:uiPriority w:val="0"/>
    <w:pPr>
      <w:ind w:firstLine="480" w:firstLineChars="200"/>
    </w:pPr>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3774</Words>
  <Characters>4334</Characters>
  <Lines>0</Lines>
  <Paragraphs>0</Paragraphs>
  <TotalTime>0</TotalTime>
  <ScaleCrop>false</ScaleCrop>
  <LinksUpToDate>false</LinksUpToDate>
  <CharactersWithSpaces>4402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2024-12-18T06:56:00Z</dcterms:created>
  <dc:creator>edu</dc:creator>
  <cp:lastModifiedBy>琼娥酱</cp:lastModifiedBy>
  <dcterms:modified xsi:type="dcterms:W3CDTF">2024-12-18T07:45:06Z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8C21CB1D77154D6DBEA7D0D3BC7805AF_12</vt:lpwstr>
  </property>
</Properties>
</file>