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97C68">
      <w:pPr>
        <w:pStyle w:val="2"/>
        <w:bidi w:val="0"/>
        <w:jc w:val="center"/>
        <w:rPr>
          <w:rFonts w:hint="eastAsia"/>
          <w:lang w:eastAsia="zh-CN"/>
        </w:rPr>
      </w:pPr>
      <w:r>
        <w:rPr>
          <w:rFonts w:hint="eastAsia"/>
          <w:lang w:eastAsia="zh-CN"/>
        </w:rPr>
        <w:t>帆软报表系统维保及新增功能需求</w:t>
      </w:r>
    </w:p>
    <w:p w14:paraId="0B6E578D">
      <w:pPr>
        <w:pBdr>
          <w:bottom w:val="thickThinSmallGap" w:color="auto" w:sz="24" w:space="1"/>
        </w:pBdr>
        <w:spacing w:before="156" w:beforeLines="50" w:after="156" w:afterLines="50" w:line="360" w:lineRule="auto"/>
        <w:outlineLvl w:val="0"/>
        <w:rPr>
          <w:rFonts w:hint="default" w:ascii="Calibri" w:hAnsi="Calibri" w:eastAsia="宋体" w:cs="Times New Roman"/>
          <w:b/>
          <w:color w:val="000000"/>
          <w:sz w:val="24"/>
          <w:szCs w:val="24"/>
          <w:lang w:val="en-US" w:eastAsia="zh-CN"/>
        </w:rPr>
      </w:pPr>
      <w:r>
        <w:rPr>
          <w:rFonts w:hint="eastAsia" w:ascii="Calibri" w:hAnsi="Calibri" w:eastAsia="宋体" w:cs="Times New Roman"/>
          <w:b/>
          <w:color w:val="000000"/>
          <w:sz w:val="24"/>
          <w:szCs w:val="24"/>
          <w:lang w:val="en-US" w:eastAsia="zh-CN"/>
        </w:rPr>
        <w:t>增购模块</w:t>
      </w:r>
      <w:r>
        <w:rPr>
          <w:rFonts w:hint="default" w:ascii="Calibri" w:hAnsi="Calibri" w:eastAsia="宋体" w:cs="Times New Roman"/>
          <w:b/>
          <w:color w:val="000000"/>
          <w:sz w:val="24"/>
          <w:szCs w:val="24"/>
          <w:lang w:val="en-US" w:eastAsia="zh-CN"/>
        </w:rPr>
        <w:t>：可视化看板 + 数据录入</w:t>
      </w:r>
    </w:p>
    <w:p w14:paraId="1788DC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一、可视化决策看板</w:t>
      </w:r>
    </w:p>
    <w:p w14:paraId="0241C1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功能解释</w:t>
      </w:r>
    </w:p>
    <w:p w14:paraId="6B6F6D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于构建PC大等驾驶舱看板，模板开发完全所见即所得，并内置多种图片素材和轮播容器、监控视频等常用组件功能。基于FineReport搭建的医疗动态数据指挥中心，通过实时交互式大屏/PC端，整合医院多系统数据（HIS、LIS、EMR、财务等）</w:t>
      </w:r>
    </w:p>
    <w:p w14:paraId="433ED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val="en-US" w:eastAsia="zh-CN"/>
        </w:rPr>
      </w:pPr>
    </w:p>
    <w:p w14:paraId="2A6981E3">
      <w:pPr>
        <w:rPr>
          <w:rFonts w:hint="eastAsia" w:eastAsiaTheme="minorEastAsia"/>
          <w:lang w:val="en-US" w:eastAsia="zh-CN"/>
        </w:rPr>
      </w:pPr>
      <w:r>
        <w:rPr>
          <w:rFonts w:hint="eastAsia" w:eastAsiaTheme="minorEastAsia"/>
          <w:lang w:val="en-US" w:eastAsia="zh-CN"/>
        </w:rPr>
        <w:t> 应用场景</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5"/>
        <w:gridCol w:w="3510"/>
        <w:gridCol w:w="3510"/>
      </w:tblGrid>
      <w:tr w14:paraId="7897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left w:val="nil"/>
              <w:bottom w:val="single" w:color="BBBBBB" w:sz="2" w:space="0"/>
              <w:right w:val="nil"/>
            </w:tcBorders>
            <w:shd w:val="clear" w:color="auto" w:fill="auto"/>
            <w:tcMar>
              <w:top w:w="75" w:type="dxa"/>
              <w:left w:w="0" w:type="dxa"/>
              <w:bottom w:w="75" w:type="dxa"/>
              <w:right w:w="75" w:type="dxa"/>
            </w:tcMar>
            <w:vAlign w:val="center"/>
          </w:tcPr>
          <w:p w14:paraId="5DAD9A69">
            <w:pPr>
              <w:rPr>
                <w:rFonts w:hint="eastAsia" w:eastAsiaTheme="minorEastAsia"/>
                <w:lang w:val="en-US" w:eastAsia="zh-CN"/>
              </w:rPr>
            </w:pPr>
            <w:r>
              <w:rPr>
                <w:rFonts w:hint="eastAsia" w:eastAsiaTheme="minorEastAsia"/>
                <w:lang w:val="en-US" w:eastAsia="zh-CN"/>
              </w:rPr>
              <w:t>场景</w:t>
            </w:r>
          </w:p>
        </w:tc>
        <w:tc>
          <w:tcPr>
            <w:tcW w:w="0" w:type="auto"/>
            <w:tcBorders>
              <w:top w:val="nil"/>
              <w:left w:val="nil"/>
              <w:bottom w:val="single" w:color="BBBBBB" w:sz="2" w:space="0"/>
              <w:right w:val="nil"/>
            </w:tcBorders>
            <w:shd w:val="clear" w:color="auto" w:fill="auto"/>
            <w:tcMar>
              <w:top w:w="75" w:type="dxa"/>
              <w:left w:w="75" w:type="dxa"/>
              <w:bottom w:w="75" w:type="dxa"/>
              <w:right w:w="75" w:type="dxa"/>
            </w:tcMar>
            <w:vAlign w:val="center"/>
          </w:tcPr>
          <w:p w14:paraId="5511B2C6">
            <w:pPr>
              <w:rPr>
                <w:rFonts w:hint="eastAsia" w:eastAsiaTheme="minorEastAsia"/>
                <w:lang w:val="en-US" w:eastAsia="zh-CN"/>
              </w:rPr>
            </w:pPr>
            <w:r>
              <w:rPr>
                <w:rFonts w:hint="eastAsia" w:eastAsiaTheme="minorEastAsia"/>
                <w:lang w:val="en-US" w:eastAsia="zh-CN"/>
              </w:rPr>
              <w:t>解决痛点</w:t>
            </w:r>
          </w:p>
        </w:tc>
        <w:tc>
          <w:tcPr>
            <w:tcW w:w="0" w:type="auto"/>
            <w:tcBorders>
              <w:top w:val="nil"/>
              <w:left w:val="nil"/>
              <w:bottom w:val="single" w:color="BBBBBB" w:sz="2" w:space="0"/>
              <w:right w:val="nil"/>
            </w:tcBorders>
            <w:shd w:val="clear" w:color="auto" w:fill="auto"/>
            <w:tcMar>
              <w:top w:w="75" w:type="dxa"/>
              <w:left w:w="75" w:type="dxa"/>
              <w:bottom w:w="75" w:type="dxa"/>
              <w:right w:w="75" w:type="dxa"/>
            </w:tcMar>
            <w:vAlign w:val="center"/>
          </w:tcPr>
          <w:p w14:paraId="489DB440">
            <w:pPr>
              <w:rPr>
                <w:rFonts w:hint="eastAsia" w:eastAsiaTheme="minorEastAsia"/>
                <w:lang w:val="en-US" w:eastAsia="zh-CN"/>
              </w:rPr>
            </w:pPr>
            <w:r>
              <w:rPr>
                <w:rFonts w:hint="eastAsia" w:eastAsiaTheme="minorEastAsia"/>
                <w:lang w:val="en-US" w:eastAsia="zh-CN"/>
              </w:rPr>
              <w:t>价值呈现</w:t>
            </w:r>
          </w:p>
        </w:tc>
      </w:tr>
      <w:tr w14:paraId="49DD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single" w:color="E5E5E5" w:sz="2" w:space="0"/>
              <w:right w:val="nil"/>
            </w:tcBorders>
            <w:shd w:val="clear" w:color="auto" w:fill="auto"/>
            <w:tcMar>
              <w:top w:w="75" w:type="dxa"/>
              <w:left w:w="0" w:type="dxa"/>
              <w:bottom w:w="75" w:type="dxa"/>
              <w:right w:w="75" w:type="dxa"/>
            </w:tcMar>
            <w:vAlign w:val="center"/>
          </w:tcPr>
          <w:p w14:paraId="192D1A3C">
            <w:pPr>
              <w:rPr>
                <w:rFonts w:hint="eastAsia" w:eastAsiaTheme="minorEastAsia"/>
                <w:lang w:val="en-US" w:eastAsia="zh-CN"/>
              </w:rPr>
            </w:pPr>
            <w:r>
              <w:rPr>
                <w:rFonts w:hint="eastAsia" w:eastAsiaTheme="minorEastAsia"/>
                <w:lang w:val="en-US" w:eastAsia="zh-CN"/>
              </w:rPr>
              <w:t>院长驾驶舱</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05F5400F">
            <w:pPr>
              <w:rPr>
                <w:rFonts w:hint="eastAsia" w:eastAsiaTheme="minorEastAsia"/>
                <w:lang w:val="en-US" w:eastAsia="zh-CN"/>
              </w:rPr>
            </w:pPr>
            <w:r>
              <w:rPr>
                <w:rFonts w:hint="eastAsia" w:eastAsiaTheme="minorEastAsia"/>
                <w:lang w:val="en-US" w:eastAsia="zh-CN"/>
              </w:rPr>
              <w:t>分散系统数据需人工汇总，决策滞后</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3E393D16">
            <w:pPr>
              <w:rPr>
                <w:rFonts w:hint="eastAsia" w:eastAsiaTheme="minorEastAsia"/>
                <w:lang w:val="en-US" w:eastAsia="zh-CN"/>
              </w:rPr>
            </w:pPr>
            <w:r>
              <w:rPr>
                <w:rFonts w:hint="eastAsia" w:eastAsiaTheme="minorEastAsia"/>
                <w:lang w:val="en-US" w:eastAsia="zh-CN"/>
              </w:rPr>
              <w:t>5分钟掌握全院运营态势</w:t>
            </w:r>
          </w:p>
        </w:tc>
      </w:tr>
      <w:tr w14:paraId="4E81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single" w:color="E5E5E5" w:sz="2" w:space="0"/>
              <w:right w:val="nil"/>
            </w:tcBorders>
            <w:shd w:val="clear" w:color="auto" w:fill="auto"/>
            <w:tcMar>
              <w:top w:w="75" w:type="dxa"/>
              <w:left w:w="0" w:type="dxa"/>
              <w:bottom w:w="75" w:type="dxa"/>
              <w:right w:w="75" w:type="dxa"/>
            </w:tcMar>
            <w:vAlign w:val="center"/>
          </w:tcPr>
          <w:p w14:paraId="75C88D19">
            <w:pPr>
              <w:rPr>
                <w:rFonts w:hint="eastAsia" w:eastAsiaTheme="minorEastAsia"/>
                <w:lang w:val="en-US" w:eastAsia="zh-CN"/>
              </w:rPr>
            </w:pPr>
            <w:r>
              <w:rPr>
                <w:rFonts w:hint="eastAsia" w:eastAsiaTheme="minorEastAsia"/>
                <w:lang w:val="en-US" w:eastAsia="zh-CN"/>
              </w:rPr>
              <w:t>科室运营看板</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6CA60040">
            <w:pPr>
              <w:rPr>
                <w:rFonts w:hint="eastAsia" w:eastAsiaTheme="minorEastAsia"/>
                <w:lang w:val="en-US" w:eastAsia="zh-CN"/>
              </w:rPr>
            </w:pPr>
            <w:r>
              <w:rPr>
                <w:rFonts w:hint="eastAsia" w:eastAsiaTheme="minorEastAsia"/>
                <w:lang w:val="en-US" w:eastAsia="zh-CN"/>
              </w:rPr>
              <w:t>无法实时监测科室效益与资源利用率</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2885477B">
            <w:pPr>
              <w:rPr>
                <w:rFonts w:hint="eastAsia" w:eastAsiaTheme="minorEastAsia"/>
                <w:lang w:val="en-US" w:eastAsia="zh-CN"/>
              </w:rPr>
            </w:pPr>
            <w:r>
              <w:rPr>
                <w:rFonts w:hint="eastAsia" w:eastAsiaTheme="minorEastAsia"/>
                <w:lang w:val="en-US" w:eastAsia="zh-CN"/>
              </w:rPr>
              <w:t>可视化对比科室绩效，优化资源配置</w:t>
            </w:r>
          </w:p>
        </w:tc>
      </w:tr>
      <w:tr w14:paraId="3062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single" w:color="E5E5E5" w:sz="2" w:space="0"/>
              <w:right w:val="nil"/>
            </w:tcBorders>
            <w:shd w:val="clear" w:color="auto" w:fill="auto"/>
            <w:tcMar>
              <w:top w:w="75" w:type="dxa"/>
              <w:left w:w="0" w:type="dxa"/>
              <w:bottom w:w="75" w:type="dxa"/>
              <w:right w:w="75" w:type="dxa"/>
            </w:tcMar>
            <w:vAlign w:val="center"/>
          </w:tcPr>
          <w:p w14:paraId="52AE20B9">
            <w:pPr>
              <w:rPr>
                <w:rFonts w:hint="eastAsia" w:eastAsiaTheme="minorEastAsia"/>
                <w:lang w:val="en-US" w:eastAsia="zh-CN"/>
              </w:rPr>
            </w:pPr>
            <w:r>
              <w:rPr>
                <w:rFonts w:hint="eastAsia" w:eastAsiaTheme="minorEastAsia"/>
                <w:lang w:val="en-US" w:eastAsia="zh-CN"/>
              </w:rPr>
              <w:t>急诊调度大屏</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74CF2406">
            <w:pPr>
              <w:rPr>
                <w:rFonts w:hint="eastAsia" w:eastAsiaTheme="minorEastAsia"/>
                <w:lang w:val="en-US" w:eastAsia="zh-CN"/>
              </w:rPr>
            </w:pPr>
            <w:r>
              <w:rPr>
                <w:rFonts w:hint="eastAsia" w:eastAsiaTheme="minorEastAsia"/>
                <w:lang w:val="en-US" w:eastAsia="zh-CN"/>
              </w:rPr>
              <w:t>高峰期患者滞留风险难预测</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11E5681A">
            <w:pPr>
              <w:rPr>
                <w:rFonts w:hint="eastAsia" w:eastAsiaTheme="minorEastAsia"/>
                <w:lang w:val="en-US" w:eastAsia="zh-CN"/>
              </w:rPr>
            </w:pPr>
            <w:r>
              <w:rPr>
                <w:rFonts w:hint="eastAsia" w:eastAsiaTheme="minorEastAsia"/>
                <w:lang w:val="en-US" w:eastAsia="zh-CN"/>
              </w:rPr>
              <w:t>实时监测候诊人数+救护车在途预警</w:t>
            </w:r>
          </w:p>
        </w:tc>
      </w:tr>
    </w:tbl>
    <w:p w14:paraId="5666051B">
      <w:pPr>
        <w:rPr>
          <w:rFonts w:hint="eastAsia" w:eastAsiaTheme="minorEastAsia"/>
          <w:lang w:val="en-US" w:eastAsia="zh-CN"/>
        </w:rPr>
      </w:pPr>
    </w:p>
    <w:p w14:paraId="22342487">
      <w:pPr>
        <w:rPr>
          <w:rFonts w:hint="eastAsia" w:eastAsiaTheme="minorEastAsia"/>
          <w:lang w:val="en-US" w:eastAsia="zh-CN"/>
        </w:rPr>
      </w:pPr>
    </w:p>
    <w:p w14:paraId="4E434E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lang w:val="en-US" w:eastAsia="zh-CN"/>
        </w:rPr>
        <w:t>二、</w:t>
      </w:r>
      <w:r>
        <w:rPr>
          <w:rFonts w:hint="default" w:eastAsiaTheme="minorEastAsia"/>
          <w:lang w:val="en-US" w:eastAsia="zh-CN"/>
        </w:rPr>
        <w:t>数据录入</w:t>
      </w:r>
    </w:p>
    <w:p w14:paraId="6D60D0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val="en-US" w:eastAsia="zh-CN"/>
        </w:rPr>
      </w:pPr>
      <w:r>
        <w:rPr>
          <w:rFonts w:hint="eastAsia" w:eastAsiaTheme="minorEastAsia"/>
          <w:lang w:val="en-US" w:eastAsia="zh-CN"/>
        </w:rPr>
        <w:t>▶ 功能解释</w:t>
      </w:r>
    </w:p>
    <w:p w14:paraId="366152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default" w:eastAsiaTheme="minorEastAsia"/>
          <w:lang w:val="en-US" w:eastAsia="zh-CN"/>
        </w:rPr>
        <w:t>将数据录入到数据库中，支持同时录入不同库，不同表。</w:t>
      </w:r>
    </w:p>
    <w:p w14:paraId="30AF8AC4">
      <w:pPr>
        <w:numPr>
          <w:ilvl w:val="0"/>
          <w:numId w:val="0"/>
        </w:numPr>
        <w:rPr>
          <w:rFonts w:hint="default"/>
          <w:lang w:val="en-US" w:eastAsia="zh-CN"/>
        </w:rPr>
      </w:pPr>
    </w:p>
    <w:p w14:paraId="7B101260">
      <w:pPr>
        <w:numPr>
          <w:ilvl w:val="0"/>
          <w:numId w:val="0"/>
        </w:numPr>
        <w:rPr>
          <w:rFonts w:hint="default"/>
          <w:lang w:val="en-US" w:eastAsia="zh-CN"/>
        </w:rPr>
      </w:pPr>
      <w:r>
        <w:rPr>
          <w:rFonts w:hint="default"/>
          <w:lang w:val="en-US" w:eastAsia="zh-CN"/>
        </w:rPr>
        <w:t>应用场景</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6"/>
        <w:gridCol w:w="2955"/>
        <w:gridCol w:w="3750"/>
      </w:tblGrid>
      <w:tr w14:paraId="71ED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nil"/>
              <w:bottom w:val="single" w:color="BBBBBB" w:sz="2" w:space="0"/>
              <w:right w:val="nil"/>
            </w:tcBorders>
            <w:shd w:val="clear" w:color="auto" w:fill="auto"/>
            <w:tcMar>
              <w:top w:w="75" w:type="dxa"/>
              <w:left w:w="0" w:type="dxa"/>
              <w:bottom w:w="75" w:type="dxa"/>
              <w:right w:w="75" w:type="dxa"/>
            </w:tcMar>
            <w:vAlign w:val="center"/>
          </w:tcPr>
          <w:p w14:paraId="1B8324DB">
            <w:pPr>
              <w:numPr>
                <w:ilvl w:val="0"/>
                <w:numId w:val="0"/>
              </w:numPr>
              <w:rPr>
                <w:rFonts w:hint="default"/>
                <w:lang w:val="en-US" w:eastAsia="zh-CN"/>
              </w:rPr>
            </w:pPr>
            <w:r>
              <w:rPr>
                <w:rFonts w:hint="default"/>
                <w:lang w:val="en-US" w:eastAsia="zh-CN"/>
              </w:rPr>
              <w:t>场景</w:t>
            </w:r>
          </w:p>
        </w:tc>
        <w:tc>
          <w:tcPr>
            <w:tcW w:w="0" w:type="auto"/>
            <w:tcBorders>
              <w:top w:val="nil"/>
              <w:left w:val="nil"/>
              <w:bottom w:val="single" w:color="BBBBBB" w:sz="2" w:space="0"/>
              <w:right w:val="nil"/>
            </w:tcBorders>
            <w:shd w:val="clear" w:color="auto" w:fill="auto"/>
            <w:tcMar>
              <w:top w:w="75" w:type="dxa"/>
              <w:left w:w="75" w:type="dxa"/>
              <w:bottom w:w="75" w:type="dxa"/>
              <w:right w:w="75" w:type="dxa"/>
            </w:tcMar>
            <w:vAlign w:val="center"/>
          </w:tcPr>
          <w:p w14:paraId="679A0910">
            <w:pPr>
              <w:numPr>
                <w:ilvl w:val="0"/>
                <w:numId w:val="0"/>
              </w:numPr>
              <w:rPr>
                <w:rFonts w:hint="default"/>
                <w:lang w:val="en-US" w:eastAsia="zh-CN"/>
              </w:rPr>
            </w:pPr>
            <w:r>
              <w:rPr>
                <w:rFonts w:hint="default"/>
                <w:lang w:val="en-US" w:eastAsia="zh-CN"/>
              </w:rPr>
              <w:t>传统方式痛点</w:t>
            </w:r>
          </w:p>
        </w:tc>
        <w:tc>
          <w:tcPr>
            <w:tcW w:w="0" w:type="auto"/>
            <w:tcBorders>
              <w:top w:val="nil"/>
              <w:left w:val="nil"/>
              <w:bottom w:val="single" w:color="BBBBBB" w:sz="2" w:space="0"/>
              <w:right w:val="nil"/>
            </w:tcBorders>
            <w:shd w:val="clear" w:color="auto" w:fill="auto"/>
            <w:tcMar>
              <w:top w:w="75" w:type="dxa"/>
              <w:left w:w="75" w:type="dxa"/>
              <w:bottom w:w="75" w:type="dxa"/>
              <w:right w:w="75" w:type="dxa"/>
            </w:tcMar>
            <w:vAlign w:val="center"/>
          </w:tcPr>
          <w:p w14:paraId="06435B1E">
            <w:pPr>
              <w:numPr>
                <w:ilvl w:val="0"/>
                <w:numId w:val="0"/>
              </w:numPr>
              <w:rPr>
                <w:rFonts w:hint="default"/>
                <w:lang w:val="en-US" w:eastAsia="zh-CN"/>
              </w:rPr>
            </w:pPr>
            <w:r>
              <w:rPr>
                <w:rFonts w:hint="default"/>
                <w:lang w:val="en-US" w:eastAsia="zh-CN"/>
              </w:rPr>
              <w:t>增购方案价值</w:t>
            </w:r>
          </w:p>
        </w:tc>
      </w:tr>
      <w:tr w14:paraId="32EA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single" w:color="E5E5E5" w:sz="2" w:space="0"/>
              <w:right w:val="nil"/>
            </w:tcBorders>
            <w:shd w:val="clear" w:color="auto" w:fill="auto"/>
            <w:tcMar>
              <w:top w:w="75" w:type="dxa"/>
              <w:left w:w="0" w:type="dxa"/>
              <w:bottom w:w="75" w:type="dxa"/>
              <w:right w:w="75" w:type="dxa"/>
            </w:tcMar>
            <w:vAlign w:val="center"/>
          </w:tcPr>
          <w:p w14:paraId="5B7B9AFB">
            <w:pPr>
              <w:numPr>
                <w:ilvl w:val="0"/>
                <w:numId w:val="0"/>
              </w:numPr>
              <w:rPr>
                <w:rFonts w:hint="default"/>
                <w:lang w:val="en-US" w:eastAsia="zh-CN"/>
              </w:rPr>
            </w:pPr>
            <w:r>
              <w:rPr>
                <w:rFonts w:hint="default"/>
                <w:lang w:val="en-US" w:eastAsia="zh-CN"/>
              </w:rPr>
              <w:t>临床试验数据采集</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4141878B">
            <w:pPr>
              <w:numPr>
                <w:ilvl w:val="0"/>
                <w:numId w:val="0"/>
              </w:numPr>
              <w:rPr>
                <w:rFonts w:hint="default"/>
                <w:lang w:val="en-US" w:eastAsia="zh-CN"/>
              </w:rPr>
            </w:pPr>
            <w:r>
              <w:rPr>
                <w:rFonts w:hint="default"/>
                <w:lang w:val="en-US" w:eastAsia="zh-CN"/>
              </w:rPr>
              <w:t>Excel管理导致版本混乱</w:t>
            </w:r>
          </w:p>
        </w:tc>
        <w:tc>
          <w:tcPr>
            <w:tcW w:w="0" w:type="auto"/>
            <w:tcBorders>
              <w:top w:val="nil"/>
              <w:left w:val="nil"/>
              <w:bottom w:val="single" w:color="E5E5E5" w:sz="2" w:space="0"/>
              <w:right w:val="nil"/>
            </w:tcBorders>
            <w:shd w:val="clear" w:color="auto" w:fill="auto"/>
            <w:tcMar>
              <w:top w:w="75" w:type="dxa"/>
              <w:left w:w="75" w:type="dxa"/>
              <w:bottom w:w="75" w:type="dxa"/>
              <w:right w:w="75" w:type="dxa"/>
            </w:tcMar>
            <w:vAlign w:val="center"/>
          </w:tcPr>
          <w:p w14:paraId="338D7BC8">
            <w:pPr>
              <w:numPr>
                <w:ilvl w:val="0"/>
                <w:numId w:val="0"/>
              </w:numPr>
              <w:rPr>
                <w:rFonts w:hint="default"/>
                <w:lang w:val="en-US" w:eastAsia="zh-CN"/>
              </w:rPr>
            </w:pPr>
            <w:r>
              <w:rPr>
                <w:rFonts w:hint="default"/>
                <w:lang w:val="en-US" w:eastAsia="zh-CN"/>
              </w:rPr>
              <w:t>受试者数据在线填报，自动锁定修改痕迹</w:t>
            </w:r>
          </w:p>
        </w:tc>
      </w:tr>
      <w:tr w14:paraId="1778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nil"/>
              <w:left w:val="nil"/>
              <w:bottom w:val="nil"/>
              <w:right w:val="nil"/>
            </w:tcBorders>
            <w:shd w:val="clear" w:color="auto" w:fill="auto"/>
            <w:tcMar>
              <w:top w:w="75" w:type="dxa"/>
              <w:left w:w="0" w:type="dxa"/>
              <w:bottom w:w="75" w:type="dxa"/>
              <w:right w:w="75" w:type="dxa"/>
            </w:tcMar>
            <w:vAlign w:val="center"/>
          </w:tcPr>
          <w:p w14:paraId="6736BF17">
            <w:pPr>
              <w:numPr>
                <w:ilvl w:val="0"/>
                <w:numId w:val="0"/>
              </w:numPr>
              <w:rPr>
                <w:rFonts w:hint="default"/>
                <w:lang w:val="en-US" w:eastAsia="zh-CN"/>
              </w:rPr>
            </w:pPr>
            <w:r>
              <w:rPr>
                <w:rFonts w:hint="default"/>
                <w:lang w:val="en-US" w:eastAsia="zh-CN"/>
              </w:rPr>
              <w:t>设备巡检管理</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14:paraId="230FDCD4">
            <w:pPr>
              <w:numPr>
                <w:ilvl w:val="0"/>
                <w:numId w:val="0"/>
              </w:numPr>
              <w:rPr>
                <w:rFonts w:hint="default"/>
                <w:lang w:val="en-US" w:eastAsia="zh-CN"/>
              </w:rPr>
            </w:pPr>
            <w:r>
              <w:rPr>
                <w:rFonts w:hint="default"/>
                <w:lang w:val="en-US" w:eastAsia="zh-CN"/>
              </w:rPr>
              <w:t>纸质巡检单易丢失，故障响应慢</w:t>
            </w:r>
          </w:p>
        </w:tc>
        <w:tc>
          <w:tcPr>
            <w:tcW w:w="0" w:type="auto"/>
            <w:tcBorders>
              <w:top w:val="nil"/>
              <w:left w:val="nil"/>
              <w:bottom w:val="nil"/>
              <w:right w:val="nil"/>
            </w:tcBorders>
            <w:shd w:val="clear" w:color="auto" w:fill="auto"/>
            <w:tcMar>
              <w:top w:w="75" w:type="dxa"/>
              <w:left w:w="75" w:type="dxa"/>
              <w:bottom w:w="75" w:type="dxa"/>
              <w:right w:w="75" w:type="dxa"/>
            </w:tcMar>
            <w:vAlign w:val="center"/>
          </w:tcPr>
          <w:p w14:paraId="56303C7D">
            <w:pPr>
              <w:numPr>
                <w:ilvl w:val="0"/>
                <w:numId w:val="0"/>
              </w:numPr>
              <w:rPr>
                <w:rFonts w:hint="default"/>
                <w:lang w:val="en-US" w:eastAsia="zh-CN"/>
              </w:rPr>
            </w:pPr>
            <w:r>
              <w:rPr>
                <w:rFonts w:hint="default"/>
                <w:lang w:val="en-US" w:eastAsia="zh-CN"/>
              </w:rPr>
              <w:t>扫码填报实时推送报修工单</w:t>
            </w:r>
          </w:p>
        </w:tc>
      </w:tr>
    </w:tbl>
    <w:p w14:paraId="415CC825">
      <w:pPr>
        <w:numPr>
          <w:ilvl w:val="0"/>
          <w:numId w:val="0"/>
        </w:numPr>
        <w:rPr>
          <w:rFonts w:hint="eastAsia"/>
          <w:lang w:val="en-US" w:eastAsia="zh-CN"/>
        </w:rPr>
      </w:pPr>
    </w:p>
    <w:p w14:paraId="5821FA7A">
      <w:pPr>
        <w:numPr>
          <w:ilvl w:val="0"/>
          <w:numId w:val="0"/>
        </w:numPr>
        <w:rPr>
          <w:rFonts w:hint="eastAsia"/>
          <w:lang w:val="en-US" w:eastAsia="zh-CN"/>
        </w:rPr>
      </w:pPr>
    </w:p>
    <w:p w14:paraId="1DCC6813">
      <w:pPr>
        <w:numPr>
          <w:ilvl w:val="0"/>
          <w:numId w:val="0"/>
        </w:numPr>
        <w:rPr>
          <w:rFonts w:hint="eastAsia"/>
          <w:lang w:val="en-US" w:eastAsia="zh-CN"/>
        </w:rPr>
      </w:pPr>
    </w:p>
    <w:p w14:paraId="49D85021">
      <w:pPr>
        <w:numPr>
          <w:ilvl w:val="0"/>
          <w:numId w:val="0"/>
        </w:numPr>
        <w:rPr>
          <w:rFonts w:hint="eastAsia"/>
          <w:lang w:val="en-US" w:eastAsia="zh-CN"/>
        </w:rPr>
      </w:pPr>
    </w:p>
    <w:p w14:paraId="64DE80CE">
      <w:pPr>
        <w:numPr>
          <w:ilvl w:val="0"/>
          <w:numId w:val="0"/>
        </w:numPr>
        <w:rPr>
          <w:rFonts w:hint="eastAsia"/>
          <w:lang w:val="en-US" w:eastAsia="zh-CN"/>
        </w:rPr>
      </w:pPr>
    </w:p>
    <w:p w14:paraId="2F5A4CB3">
      <w:pPr>
        <w:numPr>
          <w:ilvl w:val="0"/>
          <w:numId w:val="0"/>
        </w:numPr>
        <w:rPr>
          <w:rFonts w:hint="eastAsia"/>
          <w:lang w:val="en-US" w:eastAsia="zh-CN"/>
        </w:rPr>
      </w:pPr>
    </w:p>
    <w:p w14:paraId="23A14E4C">
      <w:pPr>
        <w:pBdr>
          <w:bottom w:val="thickThinSmallGap" w:color="auto" w:sz="24" w:space="1"/>
        </w:pBdr>
        <w:spacing w:before="156" w:beforeLines="50" w:after="156" w:afterLines="50" w:line="360" w:lineRule="auto"/>
        <w:outlineLvl w:val="0"/>
        <w:rPr>
          <w:rFonts w:ascii="Calibri" w:hAnsi="Calibri" w:eastAsia="宋体" w:cs="Times New Roman"/>
          <w:b/>
          <w:color w:val="000000"/>
          <w:sz w:val="24"/>
          <w:szCs w:val="24"/>
        </w:rPr>
      </w:pPr>
      <w:r>
        <w:rPr>
          <w:rFonts w:hint="eastAsia" w:ascii="Calibri" w:hAnsi="Calibri" w:eastAsia="宋体" w:cs="Times New Roman"/>
          <w:b/>
          <w:color w:val="000000"/>
          <w:sz w:val="24"/>
          <w:szCs w:val="24"/>
          <w:lang w:val="en-US" w:eastAsia="zh-CN"/>
        </w:rPr>
        <w:t>增购后</w:t>
      </w:r>
      <w:r>
        <w:rPr>
          <w:rFonts w:hint="eastAsia" w:ascii="Calibri" w:hAnsi="Calibri" w:eastAsia="宋体" w:cs="Times New Roman"/>
          <w:b/>
          <w:color w:val="000000"/>
          <w:sz w:val="24"/>
          <w:szCs w:val="24"/>
        </w:rPr>
        <w:t>功能清单</w:t>
      </w:r>
    </w:p>
    <w:p w14:paraId="38F46B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多数据源关联：同一张报表可以从多个数据库或者多个数据表中取数；并且在报表中允许对多个数据集进行关联运算。</w:t>
      </w:r>
    </w:p>
    <w:p w14:paraId="7DE1A9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多sheet报表设计：支持在设计器中创建多Sheet报表，导入导出多Sheet的Excel文件。</w:t>
      </w:r>
    </w:p>
    <w:p w14:paraId="7DD0D1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多报表运行环境：能在多个报表运行环境中切换设计报表。</w:t>
      </w:r>
    </w:p>
    <w:p w14:paraId="53BD8C7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 xml:space="preserve">增强分析统计模块：支持自定义分组(包括条件分组和公式分组)，以及层次坐标公式(包括同比，环比，排名，占比和累计等需要层次坐标比较的模板制作)。 </w:t>
      </w:r>
    </w:p>
    <w:p w14:paraId="4BB0812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参数查询界面：通过拖拽参数来布局参数查询页面，支持文本，数字，日历，下拉框，下拉复选框、下拉树，下拉多选树、单/复选框组，密码框，网页框，列表、表格树、多文件上传等二十多种编辑器，报表参数页面和报表内容合二为一。</w:t>
      </w:r>
    </w:p>
    <w:p w14:paraId="2D995B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模板权限集成：通过数据集认证，LADP等认证方式与其它信息系统集成，并对报表页面实现权限控制。</w:t>
      </w:r>
    </w:p>
    <w:p w14:paraId="1F3ED5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AlphaFine：通过人工智能为报表制作人员开发报表时提供诸多便利。目前包括了AlphaFine智能搜索引擎和AlphaFine模板智能检测。前者可以在做报表时获取到帆软当前可利用的一切资源，指导开发者快速制作报表；后者在做报表出错时，能第一时间获取到对应的解决方案。</w:t>
      </w:r>
    </w:p>
    <w:p w14:paraId="782727A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远程设计：采用三层结构来实现设计器在远程服务上创建和修改报表模板。</w:t>
      </w:r>
    </w:p>
    <w:p w14:paraId="5B5FE1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模板助手：模板制作过程中提供风险和错误提醒， 降低开发者在开发过程中开发出问题报表的可能性。</w:t>
      </w:r>
    </w:p>
    <w:p w14:paraId="6A83F6A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组件式设计：用户可以根据需要下载复用帆软市场的组件进行报表开发。此外，支持自主生成组件，在模板内以及跨模板的组件复用，复用的组件样式设置完全得到保留，快速提升模板制作效率。同时对「普通/聚合报表」和「决策报表」支持模板主题管理。</w:t>
      </w:r>
    </w:p>
    <w:p w14:paraId="55EFB5B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 xml:space="preserve"> H5动态图表：采用html5的canvas 及svg在浏览器端生成动态图表。</w:t>
      </w:r>
    </w:p>
    <w:p w14:paraId="6517E33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 xml:space="preserve"> 运维平台：运维平台为企业提供帆软应用稳定运行和全方位运维管理的解决方案。通过运维平台可以实现对于多个工程进行监控告警和运维管理，辅助发现并定位工程的宕机性能问题，提供检查修复工程异常配置以及工程备份等功能</w:t>
      </w:r>
    </w:p>
    <w:p w14:paraId="185BDB6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数据分析：在web页面中对展现数据进行筛选、过滤和排序等分析操作。</w:t>
      </w:r>
    </w:p>
    <w:p w14:paraId="461233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打印导出：精确清晰实现各类打印，可实现零客户端打印，也可通过客户端实现静默打印等其他诸多高级功能；模板导出支持pdf、excel、word、图片等等各种格式。</w:t>
      </w:r>
    </w:p>
    <w:p w14:paraId="6CD60D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决策平台:是用于综合查看报表的门户，本身不支持报表移动端展现。报表的增减、管理需要在 PC 端决策平台上配置。</w:t>
      </w:r>
    </w:p>
    <w:p w14:paraId="029F97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图表高级交互：包括图表联动（点击图表中数据，其余图表或单元格数据变化），监控刷新（数据库中数据变化时，图表对应实时动态变化并提示变化内容）和闪烁动画（闪烁显示某些重要图形）。</w:t>
      </w:r>
    </w:p>
    <w:p w14:paraId="45B00A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决策平台：包含数据门户、外观配置、系统运维、系统配置、插件管理、用户管理、数据配置及用户信息监控的综合门户。</w:t>
      </w:r>
    </w:p>
    <w:p w14:paraId="3BB4D1C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移动决策平台：在IOS和android移动端查看报表的APP，是用于综合查看报表的门户。报表的增减、管理需要在PC端决策平台上配置。</w:t>
      </w:r>
    </w:p>
    <w:p w14:paraId="5ACB2F7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移动端报表展现： cpt报表、fvs看板、填报报表可以在移动设备上以移动端属性展示，比如自适应、手势操作等效果，也支持将报表集成到用户自主开发的APP上。</w:t>
      </w:r>
    </w:p>
    <w:p w14:paraId="507865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新增功能）可视化看板：用于构建PC/移动端/大屏等驾驶舱看板，模板开发完全所见即所得，并内置多种图片素材和轮播容器、监控视频等常用组件功能。注意，没有此功能时FVS多分页设计和FVS三维组件均不可用。</w:t>
      </w:r>
    </w:p>
    <w:p w14:paraId="4D0422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（新增功能）数据录入：将数据录入到数据库中，支持同时录入不同库，不同表。</w:t>
      </w:r>
    </w:p>
    <w:p w14:paraId="0A63E9D6">
      <w:pPr>
        <w:rPr>
          <w:rFonts w:hint="default"/>
        </w:rPr>
      </w:pPr>
    </w:p>
    <w:p w14:paraId="2445B604">
      <w:pPr>
        <w:pBdr>
          <w:bottom w:val="thickThinSmallGap" w:color="auto" w:sz="24" w:space="1"/>
        </w:pBdr>
        <w:spacing w:before="156" w:beforeLines="50" w:after="156" w:afterLines="50" w:line="360" w:lineRule="auto"/>
        <w:outlineLvl w:val="0"/>
        <w:rPr>
          <w:rFonts w:hint="eastAsia" w:ascii="Calibri" w:hAnsi="Calibri" w:eastAsia="宋体" w:cs="Times New Roman"/>
          <w:b/>
          <w:color w:val="000000"/>
          <w:sz w:val="24"/>
          <w:szCs w:val="24"/>
          <w:lang w:val="en-US" w:eastAsia="zh-CN"/>
        </w:rPr>
      </w:pPr>
      <w:r>
        <w:rPr>
          <w:rFonts w:hint="eastAsia" w:ascii="Calibri" w:hAnsi="Calibri" w:eastAsia="宋体" w:cs="Times New Roman"/>
          <w:b/>
          <w:color w:val="000000"/>
          <w:sz w:val="24"/>
          <w:szCs w:val="24"/>
          <w:lang w:val="en-US" w:eastAsia="zh-CN"/>
        </w:rPr>
        <w:t>服务内容</w:t>
      </w:r>
    </w:p>
    <w:p w14:paraId="31FBE5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报表使用问题响应:对用户咨询的帆软产品安装、使用、设计等产品相关事项进行响应，并满足服务诉求。必要时，将会利用远程工具对用户的报表设计问题进行指导，提供远程演示、操作服务。</w:t>
      </w:r>
    </w:p>
    <w:p w14:paraId="49AA7E7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版本升级指导:特指版本号在甲方购买版本范围内的产品升级。大版本升级涉及授权迁移、注册信息导出等问题，可应用户要求响应，协助用户进行大版本升级。另外，用户可无限次获得小版本更新升级提醒，每次新版本发布都将以 Email 或者其它可行方式通知用户，小版本一般是通过jar 包进行升级。</w:t>
      </w:r>
    </w:p>
    <w:p w14:paraId="6527CE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产品 BUG 及需求响应(仅针对当前维护版本):用户在帆软产品过程中发现的 BUG 以及帆软暂时不支持的场景、功能，都可以通过技术支持进行反馈。产品 BUG 问题，技术支持将为用户定位 BUG 模块，并通过工单系统反馈到对应部门处理，将修复预期时间告知用户，待修复版本发布后，帮助用户完成 BUG 修复;需求类问题，技术支持将于用户详细沟通需求场景，挖掘客户使用的本质诉求，推动产品更新迭代。</w:t>
      </w:r>
    </w:p>
    <w:p w14:paraId="00282E1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紧急救援:当出现严重影响业务系统使用的事故时(例如:报表系统宕机)提供 7*24紧急救援服务，在非工作时间紧急响应用户问题并尽快协助用户恢复生产使用。</w:t>
      </w:r>
    </w:p>
    <w:p w14:paraId="7AB95C1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lang w:val="en-US" w:eastAsia="zh-CN"/>
        </w:rPr>
      </w:pPr>
      <w:r>
        <w:rPr>
          <w:rFonts w:hint="eastAsia"/>
          <w:lang w:val="en-US" w:eastAsia="zh-CN"/>
        </w:rPr>
        <w:t>现场技术支持及培训：提供甲方现场技术支持及培训服务，和用户面对面沟通，查看、定位、诊断问题，提出解决方案，并向用户提供类似问题解决方案和预防方案等;即每年1次到院巡检。</w:t>
      </w:r>
    </w:p>
    <w:p w14:paraId="0EF2C830">
      <w:pPr>
        <w:rPr>
          <w:rFonts w:hint="eastAsia"/>
        </w:rPr>
      </w:pPr>
      <w:bookmarkStart w:id="0" w:name="_GoBack"/>
      <w:bookmarkEnd w:id="0"/>
    </w:p>
    <w:p w14:paraId="3CA40FF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5888"/>
    <w:multiLevelType w:val="singleLevel"/>
    <w:tmpl w:val="8B555888"/>
    <w:lvl w:ilvl="0" w:tentative="0">
      <w:start w:val="1"/>
      <w:numFmt w:val="decimal"/>
      <w:suff w:val="space"/>
      <w:lvlText w:val="%1."/>
      <w:lvlJc w:val="left"/>
      <w:pPr>
        <w:ind w:left="425" w:hanging="425"/>
      </w:pPr>
      <w:rPr>
        <w:rFonts w:hint="default"/>
      </w:rPr>
    </w:lvl>
  </w:abstractNum>
  <w:abstractNum w:abstractNumId="1">
    <w:nsid w:val="E93E891D"/>
    <w:multiLevelType w:val="singleLevel"/>
    <w:tmpl w:val="E93E891D"/>
    <w:lvl w:ilvl="0" w:tentative="0">
      <w:start w:val="1"/>
      <w:numFmt w:val="decimal"/>
      <w:suff w:val="space"/>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3C"/>
    <w:rsid w:val="005B4F3C"/>
    <w:rsid w:val="091D365B"/>
    <w:rsid w:val="141F0D21"/>
    <w:rsid w:val="33F45380"/>
    <w:rsid w:val="36A85BA3"/>
    <w:rsid w:val="3AE2609D"/>
    <w:rsid w:val="40D000CF"/>
    <w:rsid w:val="76D058A5"/>
    <w:rsid w:val="79CF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2261</Words>
  <Characters>2393</Characters>
  <Lines>0</Lines>
  <Paragraphs>0</Paragraphs>
  <TotalTime>9</TotalTime>
  <ScaleCrop>false</ScaleCrop>
  <LinksUpToDate>false</LinksUpToDate>
  <CharactersWithSpaces>2420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2025-07-02T07:12:00Z</dcterms:created>
  <dc:creator>王浩尧</dc:creator>
  <cp:lastModifiedBy>Dan</cp:lastModifiedBy>
  <dcterms:modified xsi:type="dcterms:W3CDTF">2025-07-15T00:59:23Z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1D51F91AE62D4BB18A35D2D2CB3F435D_11</vt:lpwstr>
  </property>
  <property fmtid="{D5CDD505-2E9C-101B-9397-08002B2CF9AE}" pid="4" name="KSOTemplateDocerSaveRecord">
    <vt:lpwstr>eyJoZGlkIjoiZTFlZjliMzU5MDlkZjYzNTgyM2M0MTM5ZjcyZmRhMzgiLCJ1c2VySWQiOiI1MDYwNDcyMzUifQ==</vt:lpwstr>
  </property>
</Properties>
</file>