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9249">
      <w:pPr>
        <w:spacing w:before="163" w:after="163" w:line="360" w:lineRule="auto"/>
        <w:jc w:val="center"/>
        <w:rPr>
          <w:rFonts w:ascii="宋体" w:hAnsi="宋体" w:cs="宋体"/>
          <w:b/>
          <w:color w:val="000000"/>
          <w:sz w:val="44"/>
          <w:szCs w:val="44"/>
        </w:rPr>
      </w:pPr>
      <w:bookmarkStart w:id="0" w:name="_Toc145258439"/>
      <w:r>
        <w:rPr>
          <w:rFonts w:hint="eastAsia" w:ascii="宋体" w:hAnsi="宋体" w:cs="宋体"/>
          <w:b/>
          <w:color w:val="000000"/>
          <w:sz w:val="44"/>
          <w:szCs w:val="44"/>
        </w:rPr>
        <w:t>厦门医学院附属海沧</w:t>
      </w:r>
      <w:r>
        <w:rPr>
          <w:rFonts w:ascii="宋体" w:hAnsi="宋体" w:cs="宋体"/>
          <w:b/>
          <w:color w:val="000000"/>
          <w:sz w:val="44"/>
          <w:szCs w:val="44"/>
        </w:rPr>
        <w:t>医院</w:t>
      </w:r>
    </w:p>
    <w:p w14:paraId="1FF0388F">
      <w:pPr>
        <w:spacing w:before="163" w:after="163" w:line="360" w:lineRule="auto"/>
        <w:jc w:val="center"/>
        <w:rPr>
          <w:rFonts w:ascii="宋体" w:hAnsi="宋体" w:cs="宋体"/>
          <w:b/>
          <w:color w:val="000000"/>
          <w:sz w:val="44"/>
          <w:szCs w:val="44"/>
        </w:rPr>
      </w:pPr>
      <w:r>
        <w:rPr>
          <w:rFonts w:hint="eastAsia" w:ascii="宋体" w:hAnsi="宋体" w:cs="宋体"/>
          <w:b/>
          <w:color w:val="000000"/>
          <w:sz w:val="44"/>
          <w:szCs w:val="44"/>
        </w:rPr>
        <w:t>年度服务器存储设备、数据库和数据库容灾系统维保服务项目说明</w:t>
      </w:r>
    </w:p>
    <w:bookmarkEnd w:id="0"/>
    <w:p w14:paraId="5DB67886">
      <w:pPr>
        <w:pStyle w:val="2"/>
        <w:spacing w:before="652" w:after="326"/>
      </w:pPr>
      <w:r>
        <w:rPr>
          <w:rFonts w:hint="eastAsia"/>
        </w:rPr>
        <w:t>项目说明</w:t>
      </w:r>
    </w:p>
    <w:p w14:paraId="3C3A9DD2">
      <w:pPr>
        <w:tabs>
          <w:tab w:val="left" w:pos="900"/>
        </w:tabs>
        <w:spacing w:before="163" w:after="163"/>
        <w:ind w:firstLine="482"/>
        <w:rPr>
          <w:rFonts w:ascii="宋体" w:hAnsi="宋体"/>
          <w:color w:val="000000"/>
        </w:rPr>
      </w:pPr>
      <w:r>
        <w:rPr>
          <w:rFonts w:hint="eastAsia" w:ascii="宋体" w:hAnsi="宋体"/>
          <w:color w:val="000000"/>
        </w:rPr>
        <w:t>厦门市海沧医院为保障医院数据中心的核心设备和业务数据库的稳定运行，拟购买设备维保和数据库运维服务，保障医院数据中心核心设备的健康稳定运行和关键业务数据库的可靠运行，为全院的业务系统的稳定运行提供保障和支撑</w:t>
      </w:r>
      <w:r>
        <w:rPr>
          <w:rFonts w:ascii="宋体" w:hAnsi="宋体"/>
          <w:color w:val="000000"/>
        </w:rPr>
        <w:t>。</w:t>
      </w:r>
    </w:p>
    <w:p w14:paraId="2FC565C5">
      <w:pPr>
        <w:pStyle w:val="4"/>
        <w:spacing w:before="326" w:after="326"/>
      </w:pPr>
      <w:r>
        <w:t>项目周期：合同签订后</w:t>
      </w:r>
      <w:r>
        <w:rPr>
          <w:rFonts w:hint="eastAsia"/>
        </w:rPr>
        <w:t>1年</w:t>
      </w:r>
    </w:p>
    <w:p w14:paraId="59BE3342">
      <w:pPr>
        <w:pStyle w:val="4"/>
        <w:spacing w:before="326" w:after="326"/>
      </w:pPr>
      <w:r>
        <w:rPr>
          <w:rFonts w:hint="eastAsia"/>
        </w:rPr>
        <w:t>设备清单和系统清单</w:t>
      </w:r>
    </w:p>
    <w:tbl>
      <w:tblPr>
        <w:tblStyle w:val="8"/>
        <w:tblW w:w="8531"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299"/>
        <w:gridCol w:w="685"/>
        <w:gridCol w:w="4371"/>
        <w:gridCol w:w="1417"/>
      </w:tblGrid>
      <w:tr w14:paraId="40C7591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59" w:type="dxa"/>
            <w:noWrap w:val="0"/>
            <w:vAlign w:val="center"/>
          </w:tcPr>
          <w:p w14:paraId="1797647B">
            <w:pPr>
              <w:pStyle w:val="11"/>
              <w:spacing w:line="0" w:lineRule="atLeast"/>
              <w:jc w:val="center"/>
              <w:rPr>
                <w:b/>
              </w:rPr>
            </w:pPr>
            <w:r>
              <w:rPr>
                <w:rFonts w:hint="eastAsia"/>
                <w:b/>
              </w:rPr>
              <w:t>序号</w:t>
            </w:r>
          </w:p>
        </w:tc>
        <w:tc>
          <w:tcPr>
            <w:tcW w:w="1299" w:type="dxa"/>
            <w:noWrap w:val="0"/>
            <w:vAlign w:val="center"/>
          </w:tcPr>
          <w:p w14:paraId="287BEE74">
            <w:pPr>
              <w:pStyle w:val="11"/>
              <w:spacing w:line="0" w:lineRule="atLeast"/>
              <w:jc w:val="center"/>
              <w:rPr>
                <w:b/>
              </w:rPr>
            </w:pPr>
            <w:r>
              <w:rPr>
                <w:rFonts w:hint="eastAsia"/>
                <w:b/>
              </w:rPr>
              <w:t>项目名称</w:t>
            </w:r>
          </w:p>
        </w:tc>
        <w:tc>
          <w:tcPr>
            <w:tcW w:w="685" w:type="dxa"/>
            <w:noWrap w:val="0"/>
            <w:vAlign w:val="center"/>
          </w:tcPr>
          <w:p w14:paraId="0190FC66">
            <w:pPr>
              <w:pStyle w:val="11"/>
              <w:spacing w:line="0" w:lineRule="atLeast"/>
              <w:jc w:val="center"/>
              <w:rPr>
                <w:b/>
              </w:rPr>
            </w:pPr>
            <w:r>
              <w:rPr>
                <w:rFonts w:hint="eastAsia"/>
                <w:b/>
              </w:rPr>
              <w:t>数量</w:t>
            </w:r>
          </w:p>
        </w:tc>
        <w:tc>
          <w:tcPr>
            <w:tcW w:w="4371" w:type="dxa"/>
            <w:noWrap w:val="0"/>
            <w:vAlign w:val="center"/>
          </w:tcPr>
          <w:p w14:paraId="40ACF7FA">
            <w:pPr>
              <w:pStyle w:val="11"/>
              <w:spacing w:line="0" w:lineRule="atLeast"/>
              <w:jc w:val="center"/>
              <w:rPr>
                <w:b/>
              </w:rPr>
            </w:pPr>
            <w:r>
              <w:rPr>
                <w:rFonts w:hint="eastAsia"/>
                <w:b/>
              </w:rPr>
              <w:t>维保要求</w:t>
            </w:r>
          </w:p>
        </w:tc>
        <w:tc>
          <w:tcPr>
            <w:tcW w:w="1417" w:type="dxa"/>
            <w:noWrap w:val="0"/>
            <w:vAlign w:val="center"/>
          </w:tcPr>
          <w:p w14:paraId="751030A4">
            <w:pPr>
              <w:pStyle w:val="11"/>
              <w:spacing w:line="0" w:lineRule="atLeast"/>
              <w:jc w:val="center"/>
              <w:rPr>
                <w:b/>
              </w:rPr>
            </w:pPr>
            <w:r>
              <w:rPr>
                <w:rFonts w:hint="eastAsia"/>
                <w:b/>
              </w:rPr>
              <w:t>备注</w:t>
            </w:r>
          </w:p>
        </w:tc>
      </w:tr>
      <w:tr w14:paraId="554CDE0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59" w:type="dxa"/>
            <w:noWrap w:val="0"/>
            <w:vAlign w:val="center"/>
          </w:tcPr>
          <w:p w14:paraId="7C591B49">
            <w:pPr>
              <w:pStyle w:val="11"/>
              <w:spacing w:line="0" w:lineRule="atLeast"/>
              <w:jc w:val="center"/>
            </w:pPr>
            <w:r>
              <w:rPr>
                <w:rFonts w:hint="eastAsia"/>
              </w:rPr>
              <w:t>1</w:t>
            </w:r>
          </w:p>
        </w:tc>
        <w:tc>
          <w:tcPr>
            <w:tcW w:w="1299" w:type="dxa"/>
            <w:noWrap w:val="0"/>
            <w:vAlign w:val="center"/>
          </w:tcPr>
          <w:p w14:paraId="0E4CCC21">
            <w:pPr>
              <w:pStyle w:val="11"/>
              <w:spacing w:line="0" w:lineRule="atLeast"/>
              <w:jc w:val="center"/>
            </w:pPr>
            <w:r>
              <w:t>服务器</w:t>
            </w:r>
          </w:p>
        </w:tc>
        <w:tc>
          <w:tcPr>
            <w:tcW w:w="685" w:type="dxa"/>
            <w:noWrap w:val="0"/>
            <w:vAlign w:val="center"/>
          </w:tcPr>
          <w:p w14:paraId="58A05D12">
            <w:pPr>
              <w:pStyle w:val="11"/>
              <w:spacing w:line="0" w:lineRule="atLeast"/>
              <w:jc w:val="center"/>
              <w:rPr>
                <w:rFonts w:hint="eastAsia"/>
              </w:rPr>
            </w:pPr>
            <w:r>
              <w:rPr>
                <w:rFonts w:hint="eastAsia"/>
              </w:rPr>
              <w:t>1</w:t>
            </w:r>
            <w:r>
              <w:t>8+2台</w:t>
            </w:r>
          </w:p>
        </w:tc>
        <w:tc>
          <w:tcPr>
            <w:tcW w:w="4371" w:type="dxa"/>
            <w:noWrap w:val="0"/>
            <w:vAlign w:val="center"/>
          </w:tcPr>
          <w:p w14:paraId="4811662E">
            <w:pPr>
              <w:pStyle w:val="11"/>
              <w:spacing w:line="0" w:lineRule="atLeast"/>
              <w:rPr>
                <w:u w:val="single"/>
              </w:rPr>
            </w:pPr>
            <w:r>
              <w:rPr>
                <w:u w:val="single"/>
              </w:rPr>
              <w:t>13</w:t>
            </w:r>
            <w:r>
              <w:rPr>
                <w:rFonts w:hint="eastAsia"/>
                <w:u w:val="single"/>
              </w:rPr>
              <w:t>台服务器：</w:t>
            </w:r>
          </w:p>
          <w:p w14:paraId="1B69C177">
            <w:pPr>
              <w:pStyle w:val="11"/>
              <w:spacing w:line="0" w:lineRule="atLeast"/>
            </w:pPr>
            <w:r>
              <w:rPr>
                <w:rFonts w:hint="eastAsia"/>
              </w:rPr>
              <w:t>R</w:t>
            </w:r>
            <w:r>
              <w:t>430*2</w:t>
            </w:r>
          </w:p>
          <w:p w14:paraId="5EEAA623">
            <w:pPr>
              <w:pStyle w:val="11"/>
              <w:spacing w:line="0" w:lineRule="atLeast"/>
            </w:pPr>
            <w:r>
              <w:rPr>
                <w:rFonts w:hint="eastAsia"/>
              </w:rPr>
              <w:t>R</w:t>
            </w:r>
            <w:r>
              <w:t>630*1</w:t>
            </w:r>
          </w:p>
          <w:p w14:paraId="1BE522B8">
            <w:pPr>
              <w:pStyle w:val="11"/>
              <w:spacing w:line="0" w:lineRule="atLeast"/>
            </w:pPr>
            <w:r>
              <w:t>R720*1</w:t>
            </w:r>
          </w:p>
          <w:p w14:paraId="1FF7F8E6">
            <w:pPr>
              <w:pStyle w:val="11"/>
              <w:spacing w:line="0" w:lineRule="atLeast"/>
            </w:pPr>
            <w:r>
              <w:t>R740*4，</w:t>
            </w:r>
            <w:r>
              <w:rPr>
                <w:color w:val="FF0000"/>
              </w:rPr>
              <w:t>R740*2（外网）</w:t>
            </w:r>
          </w:p>
          <w:p w14:paraId="4557BC54">
            <w:pPr>
              <w:pStyle w:val="11"/>
              <w:spacing w:line="0" w:lineRule="atLeast"/>
            </w:pPr>
            <w:r>
              <w:t>R910*5</w:t>
            </w:r>
          </w:p>
          <w:p w14:paraId="7B72201A">
            <w:pPr>
              <w:pStyle w:val="11"/>
              <w:spacing w:line="0" w:lineRule="atLeast"/>
              <w:rPr>
                <w:u w:val="single"/>
              </w:rPr>
            </w:pPr>
            <w:r>
              <w:rPr>
                <w:rFonts w:hint="eastAsia"/>
                <w:u w:val="single"/>
              </w:rPr>
              <w:t>5台服务器：</w:t>
            </w:r>
          </w:p>
          <w:p w14:paraId="564E2407">
            <w:pPr>
              <w:pStyle w:val="11"/>
              <w:spacing w:line="0" w:lineRule="atLeast"/>
            </w:pPr>
            <w:r>
              <w:rPr>
                <w:rFonts w:hint="eastAsia"/>
              </w:rPr>
              <w:t>RD</w:t>
            </w:r>
            <w:r>
              <w:t>350*1</w:t>
            </w:r>
          </w:p>
          <w:p w14:paraId="3EF2D91F">
            <w:pPr>
              <w:pStyle w:val="11"/>
              <w:spacing w:line="0" w:lineRule="atLeast"/>
            </w:pPr>
            <w:r>
              <w:rPr>
                <w:rFonts w:hint="eastAsia"/>
              </w:rPr>
              <w:t>R</w:t>
            </w:r>
            <w:r>
              <w:t>D450*1</w:t>
            </w:r>
          </w:p>
          <w:p w14:paraId="1137B8FB">
            <w:pPr>
              <w:pStyle w:val="11"/>
              <w:spacing w:line="0" w:lineRule="atLeast"/>
            </w:pPr>
            <w:r>
              <w:t>RS140*1</w:t>
            </w:r>
          </w:p>
          <w:p w14:paraId="2F6BF8ED">
            <w:pPr>
              <w:pStyle w:val="11"/>
              <w:spacing w:line="0" w:lineRule="atLeast"/>
            </w:pPr>
            <w:r>
              <w:t>x3650M2*1</w:t>
            </w:r>
          </w:p>
          <w:p w14:paraId="2D278986">
            <w:pPr>
              <w:pStyle w:val="11"/>
              <w:spacing w:line="0" w:lineRule="atLeast"/>
            </w:pPr>
            <w:r>
              <w:t>R390*1</w:t>
            </w:r>
          </w:p>
        </w:tc>
        <w:tc>
          <w:tcPr>
            <w:tcW w:w="1417" w:type="dxa"/>
            <w:vMerge w:val="restart"/>
            <w:noWrap w:val="0"/>
            <w:vAlign w:val="center"/>
          </w:tcPr>
          <w:p w14:paraId="56DB5B27">
            <w:pPr>
              <w:pStyle w:val="11"/>
              <w:spacing w:line="0" w:lineRule="atLeast"/>
              <w:jc w:val="center"/>
            </w:pPr>
            <w:r>
              <w:t>与</w:t>
            </w:r>
            <w:r>
              <w:rPr>
                <w:rFonts w:hint="eastAsia"/>
              </w:rPr>
              <w:t>2</w:t>
            </w:r>
            <w:r>
              <w:t>025年的维保设备数量增加</w:t>
            </w:r>
          </w:p>
          <w:p w14:paraId="64F08236">
            <w:pPr>
              <w:pStyle w:val="11"/>
              <w:spacing w:line="0" w:lineRule="atLeast"/>
              <w:jc w:val="center"/>
              <w:rPr>
                <w:color w:val="FF0000"/>
              </w:rPr>
            </w:pPr>
            <w:r>
              <w:rPr>
                <w:rFonts w:hint="eastAsia"/>
                <w:color w:val="FF0000"/>
              </w:rPr>
              <w:t>2台服务器+</w:t>
            </w:r>
            <w:r>
              <w:rPr>
                <w:color w:val="FF0000"/>
              </w:rPr>
              <w:t>2台光交</w:t>
            </w:r>
          </w:p>
          <w:p w14:paraId="72C88D6A">
            <w:pPr>
              <w:pStyle w:val="11"/>
              <w:spacing w:line="0" w:lineRule="atLeast"/>
              <w:jc w:val="center"/>
            </w:pPr>
            <w:r>
              <w:rPr>
                <w:rFonts w:hint="eastAsia"/>
                <w:color w:val="FF0000"/>
              </w:rPr>
              <w:t>+</w:t>
            </w:r>
            <w:r>
              <w:rPr>
                <w:color w:val="FF0000"/>
              </w:rPr>
              <w:t>1套存储</w:t>
            </w:r>
          </w:p>
        </w:tc>
      </w:tr>
      <w:tr w14:paraId="4B2CEA4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9" w:type="dxa"/>
            <w:noWrap w:val="0"/>
            <w:vAlign w:val="center"/>
          </w:tcPr>
          <w:p w14:paraId="11D08393">
            <w:pPr>
              <w:pStyle w:val="11"/>
              <w:spacing w:line="0" w:lineRule="atLeast"/>
              <w:jc w:val="center"/>
            </w:pPr>
            <w:r>
              <w:rPr>
                <w:rFonts w:hint="eastAsia"/>
              </w:rPr>
              <w:t>2</w:t>
            </w:r>
          </w:p>
        </w:tc>
        <w:tc>
          <w:tcPr>
            <w:tcW w:w="1299" w:type="dxa"/>
            <w:noWrap w:val="0"/>
            <w:vAlign w:val="center"/>
          </w:tcPr>
          <w:p w14:paraId="01324321">
            <w:pPr>
              <w:pStyle w:val="11"/>
              <w:spacing w:line="0" w:lineRule="atLeast"/>
              <w:jc w:val="center"/>
            </w:pPr>
            <w:r>
              <w:rPr>
                <w:rFonts w:hint="eastAsia"/>
              </w:rPr>
              <w:t>存储光交</w:t>
            </w:r>
          </w:p>
        </w:tc>
        <w:tc>
          <w:tcPr>
            <w:tcW w:w="685" w:type="dxa"/>
            <w:noWrap w:val="0"/>
            <w:vAlign w:val="center"/>
          </w:tcPr>
          <w:p w14:paraId="13F9493B">
            <w:pPr>
              <w:pStyle w:val="11"/>
              <w:spacing w:line="0" w:lineRule="atLeast"/>
              <w:jc w:val="center"/>
            </w:pPr>
            <w:r>
              <w:t>4+2</w:t>
            </w:r>
            <w:r>
              <w:rPr>
                <w:rFonts w:hint="eastAsia"/>
              </w:rPr>
              <w:t>台</w:t>
            </w:r>
          </w:p>
        </w:tc>
        <w:tc>
          <w:tcPr>
            <w:tcW w:w="4371" w:type="dxa"/>
            <w:noWrap w:val="0"/>
            <w:vAlign w:val="center"/>
          </w:tcPr>
          <w:p w14:paraId="3ED58ECE">
            <w:pPr>
              <w:pStyle w:val="11"/>
              <w:spacing w:line="0" w:lineRule="atLeast"/>
            </w:pPr>
            <w:r>
              <w:rPr>
                <w:rFonts w:hint="eastAsia"/>
              </w:rPr>
              <w:t>DS</w:t>
            </w:r>
            <w:r>
              <w:t>300B*2，</w:t>
            </w:r>
            <w:r>
              <w:rPr>
                <w:rFonts w:hint="eastAsia"/>
              </w:rPr>
              <w:t>DS</w:t>
            </w:r>
            <w:r>
              <w:t>6610B*2</w:t>
            </w:r>
          </w:p>
          <w:p w14:paraId="601E0521">
            <w:pPr>
              <w:pStyle w:val="11"/>
              <w:spacing w:line="0" w:lineRule="atLeast"/>
              <w:rPr>
                <w:color w:val="FF0000"/>
              </w:rPr>
            </w:pPr>
            <w:r>
              <w:rPr>
                <w:color w:val="FF0000"/>
              </w:rPr>
              <w:t>DS6610B*2（外网）</w:t>
            </w:r>
          </w:p>
        </w:tc>
        <w:tc>
          <w:tcPr>
            <w:tcW w:w="1417" w:type="dxa"/>
            <w:vMerge w:val="continue"/>
            <w:noWrap w:val="0"/>
            <w:vAlign w:val="center"/>
          </w:tcPr>
          <w:p w14:paraId="6B4596D9">
            <w:pPr>
              <w:pStyle w:val="11"/>
              <w:spacing w:line="0" w:lineRule="atLeast"/>
              <w:jc w:val="center"/>
            </w:pPr>
          </w:p>
        </w:tc>
      </w:tr>
      <w:tr w14:paraId="75846B7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59" w:type="dxa"/>
            <w:noWrap w:val="0"/>
            <w:vAlign w:val="center"/>
          </w:tcPr>
          <w:p w14:paraId="79516F25">
            <w:pPr>
              <w:pStyle w:val="11"/>
              <w:spacing w:line="0" w:lineRule="atLeast"/>
              <w:jc w:val="center"/>
            </w:pPr>
            <w:r>
              <w:t>3</w:t>
            </w:r>
          </w:p>
        </w:tc>
        <w:tc>
          <w:tcPr>
            <w:tcW w:w="1299" w:type="dxa"/>
            <w:noWrap w:val="0"/>
            <w:vAlign w:val="center"/>
          </w:tcPr>
          <w:p w14:paraId="6BC04C3A">
            <w:pPr>
              <w:pStyle w:val="11"/>
              <w:spacing w:line="0" w:lineRule="atLeast"/>
              <w:jc w:val="center"/>
            </w:pPr>
            <w:r>
              <w:rPr>
                <w:rFonts w:hint="eastAsia"/>
              </w:rPr>
              <w:t>存储设备</w:t>
            </w:r>
          </w:p>
        </w:tc>
        <w:tc>
          <w:tcPr>
            <w:tcW w:w="685" w:type="dxa"/>
            <w:noWrap w:val="0"/>
            <w:vAlign w:val="center"/>
          </w:tcPr>
          <w:p w14:paraId="15A7695D">
            <w:pPr>
              <w:pStyle w:val="11"/>
              <w:spacing w:line="0" w:lineRule="atLeast"/>
              <w:jc w:val="center"/>
            </w:pPr>
            <w:r>
              <w:t>3+1</w:t>
            </w:r>
            <w:r>
              <w:rPr>
                <w:rFonts w:hint="eastAsia"/>
              </w:rPr>
              <w:t>套</w:t>
            </w:r>
          </w:p>
        </w:tc>
        <w:tc>
          <w:tcPr>
            <w:tcW w:w="4371" w:type="dxa"/>
            <w:noWrap w:val="0"/>
            <w:vAlign w:val="center"/>
          </w:tcPr>
          <w:p w14:paraId="58ED167B">
            <w:pPr>
              <w:pStyle w:val="11"/>
              <w:spacing w:line="0" w:lineRule="atLeast"/>
            </w:pPr>
            <w:r>
              <w:t>1</w:t>
            </w:r>
            <w:r>
              <w:rPr>
                <w:rFonts w:hint="eastAsia"/>
              </w:rPr>
              <w:t>套EMC存储VNX</w:t>
            </w:r>
            <w:r>
              <w:t>5500（含</w:t>
            </w:r>
            <w:r>
              <w:rPr>
                <w:rFonts w:hint="eastAsia"/>
              </w:rPr>
              <w:t>1个</w:t>
            </w:r>
            <w:r>
              <w:t>扩展柜）</w:t>
            </w:r>
          </w:p>
          <w:p w14:paraId="37B2DBB9">
            <w:pPr>
              <w:pStyle w:val="11"/>
              <w:spacing w:line="0" w:lineRule="atLeast"/>
            </w:pPr>
            <w:r>
              <w:rPr>
                <w:rFonts w:hint="eastAsia"/>
              </w:rPr>
              <w:t>1套EMC存储Unity</w:t>
            </w:r>
            <w:r>
              <w:t>380</w:t>
            </w:r>
          </w:p>
          <w:p w14:paraId="5C7FF87D">
            <w:pPr>
              <w:pStyle w:val="11"/>
              <w:spacing w:line="0" w:lineRule="atLeast"/>
            </w:pPr>
            <w:r>
              <w:t>1套曙光分布式存储（</w:t>
            </w:r>
            <w:r>
              <w:rPr>
                <w:rFonts w:hint="eastAsia"/>
              </w:rPr>
              <w:t>3个节点</w:t>
            </w:r>
            <w:r>
              <w:t>）</w:t>
            </w:r>
          </w:p>
          <w:p w14:paraId="07E82EAB">
            <w:pPr>
              <w:pStyle w:val="11"/>
              <w:spacing w:line="0" w:lineRule="atLeast"/>
              <w:rPr>
                <w:color w:val="FF0000"/>
              </w:rPr>
            </w:pPr>
            <w:r>
              <w:rPr>
                <w:rFonts w:hint="eastAsia"/>
                <w:color w:val="FF0000"/>
              </w:rPr>
              <w:t>1套EMC存储Unity</w:t>
            </w:r>
            <w:r>
              <w:rPr>
                <w:color w:val="FF0000"/>
              </w:rPr>
              <w:t>380（外网）</w:t>
            </w:r>
          </w:p>
        </w:tc>
        <w:tc>
          <w:tcPr>
            <w:tcW w:w="1417" w:type="dxa"/>
            <w:vMerge w:val="continue"/>
            <w:noWrap w:val="0"/>
            <w:vAlign w:val="center"/>
          </w:tcPr>
          <w:p w14:paraId="5A9819F3">
            <w:pPr>
              <w:pStyle w:val="11"/>
              <w:spacing w:line="0" w:lineRule="atLeast"/>
              <w:jc w:val="center"/>
            </w:pPr>
          </w:p>
        </w:tc>
      </w:tr>
      <w:tr w14:paraId="652DE21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59" w:type="dxa"/>
            <w:noWrap w:val="0"/>
            <w:vAlign w:val="center"/>
          </w:tcPr>
          <w:p w14:paraId="6CE076F0">
            <w:pPr>
              <w:pStyle w:val="11"/>
              <w:spacing w:line="0" w:lineRule="atLeast"/>
              <w:jc w:val="center"/>
            </w:pPr>
            <w:r>
              <w:t>4</w:t>
            </w:r>
          </w:p>
        </w:tc>
        <w:tc>
          <w:tcPr>
            <w:tcW w:w="1299" w:type="dxa"/>
            <w:noWrap w:val="0"/>
            <w:vAlign w:val="center"/>
          </w:tcPr>
          <w:p w14:paraId="1489936C">
            <w:pPr>
              <w:pStyle w:val="11"/>
              <w:spacing w:line="0" w:lineRule="atLeast"/>
              <w:jc w:val="center"/>
            </w:pPr>
            <w:r>
              <w:rPr>
                <w:rFonts w:hint="eastAsia"/>
              </w:rPr>
              <w:t>系统清单</w:t>
            </w:r>
          </w:p>
        </w:tc>
        <w:tc>
          <w:tcPr>
            <w:tcW w:w="685" w:type="dxa"/>
            <w:noWrap w:val="0"/>
            <w:vAlign w:val="center"/>
          </w:tcPr>
          <w:p w14:paraId="2BEFA36F">
            <w:pPr>
              <w:pStyle w:val="11"/>
              <w:spacing w:line="0" w:lineRule="atLeast"/>
              <w:jc w:val="center"/>
            </w:pPr>
            <w:r>
              <w:rPr>
                <w:rFonts w:hint="eastAsia"/>
              </w:rPr>
              <w:t>1批</w:t>
            </w:r>
          </w:p>
        </w:tc>
        <w:tc>
          <w:tcPr>
            <w:tcW w:w="4371" w:type="dxa"/>
            <w:noWrap w:val="0"/>
            <w:vAlign w:val="center"/>
          </w:tcPr>
          <w:p w14:paraId="2CA79F28">
            <w:pPr>
              <w:pStyle w:val="11"/>
              <w:numPr>
                <w:ilvl w:val="0"/>
                <w:numId w:val="2"/>
              </w:numPr>
              <w:spacing w:line="0" w:lineRule="atLeast"/>
              <w:ind w:left="360" w:hanging="360"/>
            </w:pPr>
            <w:r>
              <w:t>操作系统的运维（Windows和Linux）</w:t>
            </w:r>
          </w:p>
          <w:p w14:paraId="643B6DEA">
            <w:pPr>
              <w:pStyle w:val="11"/>
              <w:numPr>
                <w:ilvl w:val="0"/>
                <w:numId w:val="2"/>
              </w:numPr>
              <w:spacing w:line="0" w:lineRule="atLeast"/>
              <w:ind w:left="360" w:hanging="360"/>
            </w:pPr>
            <w:r>
              <w:rPr>
                <w:rFonts w:hint="eastAsia"/>
              </w:rPr>
              <w:t>2个</w:t>
            </w:r>
            <w:r>
              <w:t>虚拟化平台的运维（内网和外网）</w:t>
            </w:r>
          </w:p>
          <w:p w14:paraId="1D116646">
            <w:pPr>
              <w:pStyle w:val="11"/>
              <w:numPr>
                <w:ilvl w:val="0"/>
                <w:numId w:val="2"/>
              </w:numPr>
              <w:spacing w:line="0" w:lineRule="atLeast"/>
              <w:ind w:left="360" w:hanging="360"/>
            </w:pPr>
            <w:r>
              <w:rPr>
                <w:rFonts w:hint="eastAsia"/>
              </w:rPr>
              <w:t>至少</w:t>
            </w:r>
            <w:r>
              <w:rPr>
                <w:color w:val="FF0000"/>
              </w:rPr>
              <w:t>50</w:t>
            </w:r>
            <w:r>
              <w:t>套数据库系统的运维（Oracle/SQLServer/MySQL等）</w:t>
            </w:r>
          </w:p>
        </w:tc>
        <w:tc>
          <w:tcPr>
            <w:tcW w:w="1417" w:type="dxa"/>
            <w:noWrap w:val="0"/>
            <w:vAlign w:val="center"/>
          </w:tcPr>
          <w:p w14:paraId="6342689E">
            <w:pPr>
              <w:pStyle w:val="11"/>
              <w:spacing w:line="0" w:lineRule="atLeast"/>
              <w:jc w:val="center"/>
              <w:rPr>
                <w:rFonts w:hint="eastAsia"/>
              </w:rPr>
            </w:pPr>
            <w:r>
              <w:rPr>
                <w:rFonts w:hint="eastAsia"/>
              </w:rPr>
              <w:t>2</w:t>
            </w:r>
            <w:r>
              <w:t>026年预计</w:t>
            </w:r>
            <w:r>
              <w:rPr>
                <w:color w:val="FF0000"/>
              </w:rPr>
              <w:t>50</w:t>
            </w:r>
            <w:r>
              <w:t>套</w:t>
            </w:r>
          </w:p>
        </w:tc>
      </w:tr>
      <w:tr w14:paraId="02AB096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59" w:type="dxa"/>
            <w:noWrap w:val="0"/>
            <w:vAlign w:val="center"/>
          </w:tcPr>
          <w:p w14:paraId="79F9EEF6">
            <w:pPr>
              <w:pStyle w:val="11"/>
              <w:spacing w:line="0" w:lineRule="atLeast"/>
              <w:jc w:val="center"/>
            </w:pPr>
            <w:r>
              <w:t>5</w:t>
            </w:r>
          </w:p>
        </w:tc>
        <w:tc>
          <w:tcPr>
            <w:tcW w:w="1299" w:type="dxa"/>
            <w:noWrap w:val="0"/>
            <w:vAlign w:val="center"/>
          </w:tcPr>
          <w:p w14:paraId="6E7FDA2A">
            <w:pPr>
              <w:pStyle w:val="11"/>
              <w:spacing w:line="0" w:lineRule="atLeast"/>
              <w:jc w:val="center"/>
            </w:pPr>
            <w:r>
              <w:t>技术服务</w:t>
            </w:r>
          </w:p>
        </w:tc>
        <w:tc>
          <w:tcPr>
            <w:tcW w:w="685" w:type="dxa"/>
            <w:noWrap w:val="0"/>
            <w:vAlign w:val="center"/>
          </w:tcPr>
          <w:p w14:paraId="368ED69B">
            <w:pPr>
              <w:pStyle w:val="11"/>
              <w:spacing w:line="0" w:lineRule="atLeast"/>
              <w:jc w:val="center"/>
            </w:pPr>
            <w:r>
              <w:rPr>
                <w:rFonts w:hint="eastAsia"/>
              </w:rPr>
              <w:t>1项</w:t>
            </w:r>
          </w:p>
        </w:tc>
        <w:tc>
          <w:tcPr>
            <w:tcW w:w="4371" w:type="dxa"/>
            <w:noWrap w:val="0"/>
            <w:vAlign w:val="center"/>
          </w:tcPr>
          <w:p w14:paraId="404FD7D4">
            <w:pPr>
              <w:pStyle w:val="11"/>
              <w:numPr>
                <w:ilvl w:val="0"/>
                <w:numId w:val="3"/>
              </w:numPr>
            </w:pPr>
            <w:r>
              <w:t>日常运维的技术支持（含本院和医疗云上的问题支持）</w:t>
            </w:r>
          </w:p>
          <w:p w14:paraId="38047018">
            <w:pPr>
              <w:pStyle w:val="11"/>
              <w:numPr>
                <w:ilvl w:val="0"/>
                <w:numId w:val="3"/>
              </w:numPr>
            </w:pPr>
            <w:r>
              <w:t>与操作系统、数据库系统有关的等保安全服务的漏洞修复</w:t>
            </w:r>
          </w:p>
          <w:p w14:paraId="61ADF629">
            <w:pPr>
              <w:pStyle w:val="11"/>
              <w:numPr>
                <w:ilvl w:val="0"/>
                <w:numId w:val="3"/>
              </w:numPr>
              <w:spacing w:line="0" w:lineRule="atLeast"/>
              <w:rPr>
                <w:color w:val="FF0000"/>
              </w:rPr>
            </w:pPr>
            <w:r>
              <w:rPr>
                <w:color w:val="FF0000"/>
              </w:rPr>
              <w:t>对故障告警（设备和数据库系统）提供实时检测和监控机制，并实现告警信息的及时外发推送功能（内网告警到外网外发平台的功能），提高工作效率。</w:t>
            </w:r>
          </w:p>
          <w:p w14:paraId="61FB9B31">
            <w:pPr>
              <w:pStyle w:val="11"/>
              <w:numPr>
                <w:ilvl w:val="0"/>
                <w:numId w:val="3"/>
              </w:numPr>
              <w:spacing w:line="0" w:lineRule="atLeast"/>
              <w:rPr>
                <w:color w:val="FF0000"/>
              </w:rPr>
            </w:pPr>
            <w:r>
              <w:rPr>
                <w:color w:val="FF0000"/>
              </w:rPr>
              <w:t>提供国产信创环境的技术支持。</w:t>
            </w:r>
          </w:p>
          <w:p w14:paraId="5DFA4CBC">
            <w:pPr>
              <w:pStyle w:val="11"/>
              <w:numPr>
                <w:ilvl w:val="0"/>
                <w:numId w:val="3"/>
              </w:numPr>
              <w:rPr>
                <w:color w:val="FF0000"/>
              </w:rPr>
            </w:pPr>
            <w:r>
              <w:rPr>
                <w:color w:val="FF0000"/>
              </w:rPr>
              <w:t>提供国产数据库的安装、测试、数据迁移等的技术支持</w:t>
            </w:r>
          </w:p>
          <w:p w14:paraId="7FB971CD">
            <w:pPr>
              <w:pStyle w:val="11"/>
              <w:numPr>
                <w:ilvl w:val="0"/>
                <w:numId w:val="3"/>
              </w:numPr>
            </w:pPr>
            <w:r>
              <w:t>现场问题故障的排查</w:t>
            </w:r>
          </w:p>
          <w:p w14:paraId="1F90327B">
            <w:pPr>
              <w:pStyle w:val="11"/>
              <w:numPr>
                <w:ilvl w:val="0"/>
                <w:numId w:val="3"/>
              </w:numPr>
              <w:spacing w:line="0" w:lineRule="atLeast"/>
            </w:pPr>
            <w:r>
              <w:rPr>
                <w:rFonts w:hint="eastAsia"/>
              </w:rPr>
              <w:t>提供相关技术培训服务</w:t>
            </w:r>
          </w:p>
        </w:tc>
        <w:tc>
          <w:tcPr>
            <w:tcW w:w="1417" w:type="dxa"/>
            <w:noWrap w:val="0"/>
            <w:vAlign w:val="center"/>
          </w:tcPr>
          <w:p w14:paraId="4F2597C1">
            <w:pPr>
              <w:pStyle w:val="11"/>
              <w:spacing w:line="0" w:lineRule="atLeast"/>
              <w:jc w:val="center"/>
            </w:pPr>
          </w:p>
        </w:tc>
      </w:tr>
    </w:tbl>
    <w:p w14:paraId="02E21F55">
      <w:pPr>
        <w:pStyle w:val="3"/>
      </w:pPr>
    </w:p>
    <w:p w14:paraId="2CAEE74A">
      <w:pPr>
        <w:pStyle w:val="4"/>
        <w:spacing w:before="326" w:after="326"/>
      </w:pPr>
      <w:r>
        <w:t>服务内容</w:t>
      </w:r>
    </w:p>
    <w:p w14:paraId="4CEBC146">
      <w:pPr>
        <w:pStyle w:val="3"/>
        <w:numPr>
          <w:ilvl w:val="0"/>
          <w:numId w:val="4"/>
        </w:numPr>
        <w:spacing w:before="163" w:after="163"/>
        <w:ind w:firstLineChars="0"/>
      </w:pPr>
      <w:r>
        <w:rPr>
          <w:rFonts w:hint="eastAsia"/>
        </w:rPr>
        <w:t>设备维保服务</w:t>
      </w:r>
    </w:p>
    <w:p w14:paraId="0B626789">
      <w:pPr>
        <w:pStyle w:val="3"/>
        <w:numPr>
          <w:ilvl w:val="1"/>
          <w:numId w:val="4"/>
        </w:numPr>
        <w:spacing w:before="163" w:after="163"/>
        <w:ind w:firstLineChars="0"/>
      </w:pPr>
      <w:r>
        <w:rPr>
          <w:rFonts w:hint="eastAsia"/>
        </w:rPr>
        <w:t>维保设备信息的采集和管理，由供应商提供运维管理系统来支撑；</w:t>
      </w:r>
    </w:p>
    <w:p w14:paraId="592AA2B9">
      <w:pPr>
        <w:pStyle w:val="3"/>
        <w:numPr>
          <w:ilvl w:val="1"/>
          <w:numId w:val="4"/>
        </w:numPr>
        <w:spacing w:before="163" w:after="163"/>
        <w:ind w:firstLineChars="0"/>
      </w:pPr>
      <w:r>
        <w:rPr>
          <w:rFonts w:hint="eastAsia"/>
        </w:rPr>
        <w:t>为院内所有的服务器和存储设备提供日常技术支持服务，如系统安装、设备移机、系统故障诊断、设备故障报修、设备运行保障等；</w:t>
      </w:r>
    </w:p>
    <w:p w14:paraId="53B176A3">
      <w:pPr>
        <w:pStyle w:val="3"/>
        <w:numPr>
          <w:ilvl w:val="1"/>
          <w:numId w:val="4"/>
        </w:numPr>
        <w:spacing w:before="163" w:after="163"/>
        <w:ind w:firstLineChars="0"/>
      </w:pPr>
      <w:r>
        <w:rPr>
          <w:rFonts w:hint="eastAsia"/>
        </w:rPr>
        <w:t>为所有维保设备中的系统提供技术支持，包含操作系统的部署和维护，如：日常的补丁管理、系统故障的排查、系统的重新安装等；</w:t>
      </w:r>
    </w:p>
    <w:p w14:paraId="5A21267A">
      <w:pPr>
        <w:pStyle w:val="3"/>
        <w:numPr>
          <w:ilvl w:val="1"/>
          <w:numId w:val="4"/>
        </w:numPr>
        <w:spacing w:before="163" w:after="163"/>
        <w:ind w:firstLineChars="0"/>
      </w:pPr>
      <w:r>
        <w:rPr>
          <w:rFonts w:hint="eastAsia"/>
        </w:rPr>
        <w:t>为所有维保设备中的系统应用软件提供技术支持服务，如群集环境配置、数据库系统安装、业务数据迁移、虚拟化平台搭建、系统割接、LUN的划分、磁盘空间的管理等服务；</w:t>
      </w:r>
    </w:p>
    <w:p w14:paraId="77EECE39">
      <w:pPr>
        <w:pStyle w:val="3"/>
        <w:numPr>
          <w:ilvl w:val="1"/>
          <w:numId w:val="4"/>
        </w:numPr>
        <w:spacing w:before="163" w:after="163"/>
        <w:ind w:firstLineChars="0"/>
      </w:pPr>
      <w:r>
        <w:t>提供维保设备与等保测评工作要求相关的差距整改事项的技术支持服务；</w:t>
      </w:r>
    </w:p>
    <w:p w14:paraId="44CDF94D">
      <w:pPr>
        <w:pStyle w:val="3"/>
        <w:numPr>
          <w:ilvl w:val="1"/>
          <w:numId w:val="4"/>
        </w:numPr>
        <w:spacing w:before="163" w:after="163"/>
        <w:ind w:firstLineChars="0"/>
      </w:pPr>
      <w:r>
        <w:rPr>
          <w:rFonts w:hint="eastAsia"/>
        </w:rPr>
        <w:t>为维保清单中过保设备提供免费的备件更换服务；</w:t>
      </w:r>
    </w:p>
    <w:p w14:paraId="2CE1D6CA">
      <w:pPr>
        <w:pStyle w:val="3"/>
        <w:numPr>
          <w:ilvl w:val="1"/>
          <w:numId w:val="4"/>
        </w:numPr>
        <w:spacing w:before="163" w:after="163"/>
        <w:ind w:firstLineChars="0"/>
      </w:pPr>
      <w:r>
        <w:rPr>
          <w:rFonts w:hint="eastAsia"/>
        </w:rPr>
        <w:t>提供每周1次的维保设备运行情况的现场巡检服务，并提供电子版巡检报告；</w:t>
      </w:r>
    </w:p>
    <w:p w14:paraId="6EF9D8B9">
      <w:pPr>
        <w:pStyle w:val="3"/>
        <w:numPr>
          <w:ilvl w:val="1"/>
          <w:numId w:val="4"/>
        </w:numPr>
        <w:spacing w:before="163" w:after="163"/>
        <w:ind w:firstLineChars="0"/>
      </w:pPr>
      <w:r>
        <w:t>提供</w:t>
      </w:r>
      <w:r>
        <w:rPr>
          <w:rFonts w:hint="eastAsia"/>
        </w:rPr>
        <w:t>虚拟化平台的运维支持服务，如虚拟机的管理（创建、迁移、维护等），vCenter的管理（HA的配置、资源池的扩容、计算资源的扩容），虚拟机的备份和安全管理等的支持；</w:t>
      </w:r>
    </w:p>
    <w:p w14:paraId="01FC2D24">
      <w:pPr>
        <w:pStyle w:val="3"/>
        <w:numPr>
          <w:ilvl w:val="1"/>
          <w:numId w:val="4"/>
        </w:numPr>
        <w:spacing w:before="163" w:after="163"/>
        <w:ind w:firstLineChars="0"/>
      </w:pPr>
      <w:r>
        <w:rPr>
          <w:rFonts w:hint="eastAsia"/>
        </w:rPr>
        <w:t>提供全年7</w:t>
      </w:r>
      <w:r>
        <w:t>*24小时技术支持服务，设备故障时提供</w:t>
      </w:r>
      <w:r>
        <w:rPr>
          <w:rFonts w:hint="eastAsia"/>
        </w:rPr>
        <w:t>1小时现场故障排查服务，以及每周1次的现场驻点巡检服务。</w:t>
      </w:r>
    </w:p>
    <w:p w14:paraId="425C8257">
      <w:pPr>
        <w:pStyle w:val="3"/>
        <w:numPr>
          <w:ilvl w:val="1"/>
          <w:numId w:val="4"/>
        </w:numPr>
        <w:spacing w:before="163" w:after="163"/>
        <w:ind w:firstLineChars="0"/>
      </w:pPr>
      <w:r>
        <w:rPr>
          <w:rFonts w:hint="eastAsia"/>
        </w:rPr>
        <w:t>提供与维保设备相关技术的技术交流、技术培训等服务。</w:t>
      </w:r>
    </w:p>
    <w:p w14:paraId="7201094A">
      <w:pPr>
        <w:pStyle w:val="3"/>
        <w:numPr>
          <w:ilvl w:val="0"/>
          <w:numId w:val="4"/>
        </w:numPr>
        <w:spacing w:before="163" w:after="163"/>
        <w:ind w:firstLineChars="0"/>
      </w:pPr>
      <w:r>
        <w:t>数据库运维服务</w:t>
      </w:r>
    </w:p>
    <w:p w14:paraId="2CCE49E1">
      <w:pPr>
        <w:pStyle w:val="3"/>
        <w:numPr>
          <w:ilvl w:val="1"/>
          <w:numId w:val="4"/>
        </w:numPr>
        <w:spacing w:before="163" w:after="163"/>
        <w:ind w:firstLineChars="0"/>
      </w:pPr>
      <w:r>
        <w:rPr>
          <w:rFonts w:hint="eastAsia"/>
        </w:rPr>
        <w:t>基础运维：数据库档案整理、月度巡检、数据备份机制等；</w:t>
      </w:r>
    </w:p>
    <w:p w14:paraId="00F50918">
      <w:pPr>
        <w:pStyle w:val="3"/>
        <w:numPr>
          <w:ilvl w:val="1"/>
          <w:numId w:val="4"/>
        </w:numPr>
        <w:spacing w:before="163" w:after="163"/>
        <w:ind w:firstLineChars="0"/>
      </w:pPr>
      <w:r>
        <w:rPr>
          <w:rFonts w:hint="eastAsia"/>
        </w:rPr>
        <w:t>高级运维：补丁管理、DG库部署、备份数据验证、数据迁移等；</w:t>
      </w:r>
    </w:p>
    <w:p w14:paraId="536A94B7">
      <w:pPr>
        <w:pStyle w:val="3"/>
        <w:numPr>
          <w:ilvl w:val="1"/>
          <w:numId w:val="4"/>
        </w:numPr>
        <w:spacing w:before="163" w:after="163"/>
        <w:ind w:firstLineChars="0"/>
      </w:pPr>
      <w:r>
        <w:rPr>
          <w:rFonts w:hint="eastAsia"/>
        </w:rPr>
        <w:t>系统调优：对数据库的配置、索引、碎片、存储过程进行优化，针对发现的问题及隐患，在数据库层面做深度的调优；</w:t>
      </w:r>
    </w:p>
    <w:p w14:paraId="3AD816C2">
      <w:pPr>
        <w:pStyle w:val="3"/>
        <w:numPr>
          <w:ilvl w:val="1"/>
          <w:numId w:val="4"/>
        </w:numPr>
        <w:spacing w:before="163" w:after="163"/>
        <w:ind w:firstLineChars="0"/>
      </w:pPr>
      <w:r>
        <w:t>每月一次的数据库巡检服务；</w:t>
      </w:r>
    </w:p>
    <w:p w14:paraId="663B7B9B">
      <w:pPr>
        <w:pStyle w:val="3"/>
        <w:numPr>
          <w:ilvl w:val="1"/>
          <w:numId w:val="4"/>
        </w:numPr>
        <w:spacing w:before="163" w:after="163"/>
        <w:ind w:firstLineChars="0"/>
      </w:pPr>
      <w:r>
        <w:t>提供数据库系统与等保测评工作要求相关的差距整改事项的技术支持服务；</w:t>
      </w:r>
    </w:p>
    <w:p w14:paraId="0EEDF376">
      <w:pPr>
        <w:pStyle w:val="3"/>
        <w:numPr>
          <w:ilvl w:val="1"/>
          <w:numId w:val="4"/>
        </w:numPr>
        <w:spacing w:before="163" w:after="163"/>
        <w:ind w:firstLineChars="0"/>
      </w:pPr>
      <w:r>
        <w:t>不定期的现场技术交流和支持，</w:t>
      </w:r>
      <w:r>
        <w:rPr>
          <w:rFonts w:hint="eastAsia"/>
        </w:rPr>
        <w:t>提供7×24×1小时现场服务。</w:t>
      </w:r>
    </w:p>
    <w:p w14:paraId="59A1A752">
      <w:pPr>
        <w:pStyle w:val="3"/>
        <w:numPr>
          <w:ilvl w:val="0"/>
          <w:numId w:val="4"/>
        </w:numPr>
        <w:spacing w:before="163" w:after="163"/>
        <w:ind w:firstLineChars="0"/>
      </w:pPr>
      <w:r>
        <w:t>监控告警机制</w:t>
      </w:r>
    </w:p>
    <w:p w14:paraId="299CCA22">
      <w:pPr>
        <w:pStyle w:val="3"/>
        <w:spacing w:before="163" w:after="163"/>
        <w:ind w:left="900" w:firstLine="0" w:firstLineChars="0"/>
      </w:pPr>
      <w:r>
        <w:rPr>
          <w:rFonts w:hint="eastAsia"/>
        </w:rPr>
        <w:t>提供设备维保和数据库运维状态的自动检测和监控能力，对维保设备的硬件运行状态、系统的运行相关指标等的在线监测，并对监控的异常告警进行通知外发，实现异常告警及时通知，提供故障响应处理的效率，提升运维保障能力。</w:t>
      </w:r>
    </w:p>
    <w:p w14:paraId="7F034FEB">
      <w:pPr>
        <w:pStyle w:val="3"/>
        <w:numPr>
          <w:ilvl w:val="1"/>
          <w:numId w:val="4"/>
        </w:numPr>
        <w:spacing w:before="163" w:after="163"/>
        <w:ind w:firstLineChars="0"/>
      </w:pPr>
      <w:r>
        <w:rPr>
          <w:rFonts w:hint="eastAsia"/>
        </w:rPr>
        <w:t>监控对象包含：服务器、存储交换机、存储设备、数据库系统。</w:t>
      </w:r>
    </w:p>
    <w:p w14:paraId="3D1DD4D8">
      <w:pPr>
        <w:pStyle w:val="3"/>
        <w:numPr>
          <w:ilvl w:val="1"/>
          <w:numId w:val="4"/>
        </w:numPr>
        <w:spacing w:before="163" w:after="163"/>
        <w:ind w:firstLineChars="0"/>
      </w:pPr>
      <w:r>
        <w:rPr>
          <w:rFonts w:hint="eastAsia"/>
        </w:rPr>
        <w:t>监控信息采集：监控系统通过各类采</w:t>
      </w:r>
      <w:bookmarkStart w:id="1" w:name="_GoBack"/>
      <w:bookmarkEnd w:id="1"/>
      <w:r>
        <w:rPr>
          <w:rFonts w:hint="eastAsia"/>
        </w:rPr>
        <w:t>集器对监控对象的相关指标（设备的型号、端口、容量、运行状态等）进行运行状态的采集；</w:t>
      </w:r>
    </w:p>
    <w:p w14:paraId="3C7B40A7">
      <w:pPr>
        <w:pStyle w:val="3"/>
        <w:numPr>
          <w:ilvl w:val="1"/>
          <w:numId w:val="4"/>
        </w:numPr>
        <w:spacing w:before="163" w:after="163"/>
        <w:ind w:firstLineChars="0"/>
      </w:pPr>
      <w:r>
        <w:rPr>
          <w:rFonts w:hint="eastAsia"/>
        </w:rPr>
        <w:t>运行状态信息：包含CPU使用率、磁盘状态、端口状态、控制器状态、电源状态、缓存命中率、存储池、LUN/文件系统的性能指标、数据库运行状态的基础信息和性能信息等；</w:t>
      </w:r>
    </w:p>
    <w:p w14:paraId="5F6C2CDE">
      <w:pPr>
        <w:pStyle w:val="3"/>
        <w:numPr>
          <w:ilvl w:val="1"/>
          <w:numId w:val="4"/>
        </w:numPr>
        <w:spacing w:before="163" w:after="163"/>
        <w:ind w:firstLineChars="0"/>
      </w:pPr>
      <w:r>
        <w:rPr>
          <w:rFonts w:hint="eastAsia"/>
        </w:rPr>
        <w:t>告警信息外发：异常状态告警信息通过消息统一推送机制进行外发，进行企业微信的告警通知，提供故障响应处理效率。</w:t>
      </w:r>
    </w:p>
    <w:p w14:paraId="72C93FD9"/>
    <w:sectPr>
      <w:headerReference r:id="rId6" w:type="first"/>
      <w:footerReference r:id="rId8" w:type="first"/>
      <w:headerReference r:id="rId4" w:type="default"/>
      <w:footerReference r:id="rId7" w:type="default"/>
      <w:headerReference r:id="rId5" w:type="even"/>
      <w:pgSz w:w="11906" w:h="16838"/>
      <w:pgMar w:top="1588" w:right="1797" w:bottom="1418" w:left="1797" w:header="851" w:footer="992"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19F1">
    <w:pPr>
      <w:pStyle w:val="6"/>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3</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3</w:t>
    </w:r>
    <w:r>
      <w:rPr>
        <w:kern w:val="0"/>
      </w:rPr>
      <w:fldChar w:fldCharType="end"/>
    </w:r>
    <w:r>
      <w:rPr>
        <w:rFonts w:hint="eastAsia"/>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F02B">
    <w:pPr>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ACFB">
    <w:pPr>
      <w:pStyle w:val="7"/>
    </w:pPr>
    <w:r>
      <w:rPr>
        <w:rFonts w:hint="eastAsia"/>
      </w:rPr>
      <w:t>厦门市海沧</w:t>
    </w:r>
    <w:r>
      <w:t xml:space="preserve">医院                                                  </w:t>
    </w:r>
    <w:r>
      <w:rPr>
        <w:rFonts w:hint="eastAsia"/>
      </w:rPr>
      <w:t>设备维保和数据库运维服务项目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33F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AE99">
    <w:pPr>
      <w:spacing w:before="120" w:after="120"/>
      <w:rPr>
        <w:rFonts w:ascii="黑体" w:hAnsi="黑体" w:eastAsia="黑体"/>
        <w:sz w:val="18"/>
        <w:szCs w:val="18"/>
        <w:u w:val="single"/>
      </w:rPr>
    </w:pPr>
    <w:r>
      <w:rPr>
        <w:rFonts w:hint="eastAsia" w:ascii="黑体" w:hAnsi="黑体" w:eastAsia="黑体"/>
        <w:sz w:val="18"/>
        <w:szCs w:val="18"/>
        <w:u w:val="single"/>
      </w:rPr>
      <w:t xml:space="preserve">厦门市海沧医院     </w:t>
    </w:r>
    <w:r>
      <w:rPr>
        <w:rFonts w:ascii="黑体" w:hAnsi="黑体" w:eastAsia="黑体"/>
        <w:sz w:val="18"/>
        <w:szCs w:val="18"/>
        <w:u w:val="single"/>
      </w:rPr>
      <w:t xml:space="preserve"> </w:t>
    </w:r>
    <w:r>
      <w:rPr>
        <w:rFonts w:hint="eastAsia" w:ascii="黑体" w:hAnsi="黑体" w:eastAsia="黑体"/>
        <w:sz w:val="18"/>
        <w:szCs w:val="18"/>
        <w:u w:val="single"/>
      </w:rPr>
      <w:t xml:space="preserve">                    </w:t>
    </w:r>
    <w:r>
      <w:rPr>
        <w:rFonts w:ascii="黑体" w:hAnsi="黑体" w:eastAsia="黑体"/>
        <w:sz w:val="18"/>
        <w:szCs w:val="18"/>
        <w:u w:val="single"/>
      </w:rPr>
      <w:t xml:space="preserve">                       </w:t>
    </w:r>
    <w:r>
      <w:rPr>
        <w:rFonts w:hint="eastAsia" w:ascii="黑体" w:hAnsi="黑体" w:eastAsia="黑体"/>
        <w:sz w:val="18"/>
        <w:szCs w:val="18"/>
        <w:u w:val="single"/>
      </w:rPr>
      <w:t xml:space="preserve"> 设备维保和数据库运维服务项目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4189E"/>
    <w:multiLevelType w:val="multilevel"/>
    <w:tmpl w:val="07C4189E"/>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1C2766D"/>
    <w:multiLevelType w:val="multilevel"/>
    <w:tmpl w:val="11C276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FB4479"/>
    <w:multiLevelType w:val="multilevel"/>
    <w:tmpl w:val="4EFB44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58358D"/>
    <w:multiLevelType w:val="multilevel"/>
    <w:tmpl w:val="7458358D"/>
    <w:lvl w:ilvl="0" w:tentative="0">
      <w:start w:val="1"/>
      <w:numFmt w:val="decimal"/>
      <w:pStyle w:val="2"/>
      <w:suff w:val="space"/>
      <w:lvlText w:val="%1"/>
      <w:lvlJc w:val="left"/>
      <w:pPr>
        <w:ind w:left="431" w:hanging="431"/>
      </w:pPr>
      <w:rPr>
        <w:rFonts w:hint="default" w:ascii="Arial" w:hAnsi="Arial" w:eastAsia="黑体" w:cs="Times New Roman"/>
        <w:b/>
        <w:i w:val="0"/>
        <w:iCs w:val="0"/>
        <w:caps w:val="0"/>
        <w:strike w:val="0"/>
        <w:dstrike w:val="0"/>
        <w:vanish w:val="0"/>
        <w:color w:val="000000"/>
        <w:spacing w:val="0"/>
        <w:kern w:val="0"/>
        <w:position w:val="0"/>
        <w:sz w:val="32"/>
        <w:szCs w:val="32"/>
        <w:u w:val="none"/>
        <w:vertAlign w:val="baseline"/>
        <w14:shadow w14:blurRad="0" w14:dist="0" w14:dir="0" w14:sx="0" w14:sy="0" w14:kx="0" w14:ky="0" w14:algn="none">
          <w14:srgbClr w14:val="000000"/>
        </w14:shadow>
      </w:rPr>
    </w:lvl>
    <w:lvl w:ilvl="1" w:tentative="0">
      <w:start w:val="1"/>
      <w:numFmt w:val="decimal"/>
      <w:pStyle w:val="4"/>
      <w:suff w:val="space"/>
      <w:lvlText w:val="%1.%2"/>
      <w:lvlJc w:val="left"/>
      <w:pPr>
        <w:ind w:left="567"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70988"/>
    <w:rsid w:val="3437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jc w:val="both"/>
    </w:pPr>
    <w:rPr>
      <w:rFonts w:ascii="Times New Roman" w:hAnsi="Times New Roman" w:eastAsia="宋体" w:cs="Times New Roman"/>
      <w:kern w:val="2"/>
      <w:sz w:val="24"/>
      <w:szCs w:val="24"/>
      <w:lang w:val="en-US" w:eastAsia="zh-CN" w:bidi="ar-SA"/>
    </w:rPr>
  </w:style>
  <w:style w:type="paragraph" w:styleId="2">
    <w:name w:val="heading 1"/>
    <w:basedOn w:val="1"/>
    <w:next w:val="3"/>
    <w:qFormat/>
    <w:uiPriority w:val="0"/>
    <w:pPr>
      <w:keepNext/>
      <w:keepLines/>
      <w:numPr>
        <w:ilvl w:val="0"/>
        <w:numId w:val="1"/>
      </w:numPr>
      <w:spacing w:beforeLines="200" w:afterLines="100"/>
      <w:jc w:val="left"/>
      <w:outlineLvl w:val="0"/>
    </w:pPr>
    <w:rPr>
      <w:rFonts w:eastAsia="黑体"/>
      <w:b/>
      <w:bCs/>
      <w:kern w:val="0"/>
      <w:sz w:val="32"/>
      <w:szCs w:val="44"/>
    </w:rPr>
  </w:style>
  <w:style w:type="paragraph" w:styleId="4">
    <w:name w:val="heading 2"/>
    <w:basedOn w:val="1"/>
    <w:next w:val="3"/>
    <w:qFormat/>
    <w:uiPriority w:val="0"/>
    <w:pPr>
      <w:keepNext/>
      <w:keepLines/>
      <w:numPr>
        <w:ilvl w:val="1"/>
        <w:numId w:val="1"/>
      </w:numPr>
      <w:spacing w:beforeLines="100" w:afterLines="100"/>
      <w:jc w:val="left"/>
      <w:outlineLvl w:val="1"/>
    </w:pPr>
    <w:rPr>
      <w:rFonts w:ascii="Arial" w:hAnsi="Arial" w:eastAsia="黑体"/>
      <w:b/>
      <w:bCs/>
      <w:sz w:val="30"/>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5">
    <w:name w:val="annotation text"/>
    <w:basedOn w:val="1"/>
    <w:semiHidden/>
    <w:qFormat/>
    <w:uiPriority w:val="0"/>
    <w:pPr>
      <w:jc w:val="left"/>
    </w:pPr>
  </w:style>
  <w:style w:type="paragraph" w:styleId="6">
    <w:name w:val="footer"/>
    <w:basedOn w:val="1"/>
    <w:qFormat/>
    <w:uiPriority w:val="0"/>
    <w:pPr>
      <w:pBdr>
        <w:top w:val="thinThickSmallGap" w:color="auto" w:sz="24" w:space="1"/>
      </w:pBdr>
      <w:tabs>
        <w:tab w:val="center" w:pos="4153"/>
        <w:tab w:val="right" w:pos="8306"/>
      </w:tabs>
      <w:snapToGrid w:val="0"/>
      <w:spacing w:before="120" w:after="120"/>
      <w:jc w:val="center"/>
    </w:pPr>
    <w:rPr>
      <w:rFonts w:eastAsia="黑体"/>
      <w:sz w:val="18"/>
      <w:szCs w:val="18"/>
    </w:rPr>
  </w:style>
  <w:style w:type="paragraph" w:styleId="7">
    <w:name w:val="header"/>
    <w:basedOn w:val="1"/>
    <w:qFormat/>
    <w:uiPriority w:val="0"/>
    <w:pPr>
      <w:pBdr>
        <w:bottom w:val="single" w:color="auto" w:sz="6" w:space="1"/>
      </w:pBdr>
      <w:tabs>
        <w:tab w:val="center" w:pos="4153"/>
        <w:tab w:val="right" w:pos="8306"/>
      </w:tabs>
      <w:snapToGrid w:val="0"/>
      <w:spacing w:beforeLines="0" w:afterLines="0"/>
      <w:jc w:val="left"/>
    </w:pPr>
    <w:rPr>
      <w:rFonts w:eastAsia="黑体"/>
      <w:sz w:val="18"/>
      <w:szCs w:val="18"/>
    </w:rPr>
  </w:style>
  <w:style w:type="character" w:styleId="10">
    <w:name w:val="annotation reference"/>
    <w:basedOn w:val="9"/>
    <w:semiHidden/>
    <w:qFormat/>
    <w:uiPriority w:val="0"/>
    <w:rPr>
      <w:sz w:val="21"/>
      <w:szCs w:val="21"/>
    </w:rPr>
  </w:style>
  <w:style w:type="paragraph" w:customStyle="1" w:styleId="11">
    <w:name w:val="表格文字"/>
    <w:basedOn w:val="1"/>
    <w:qFormat/>
    <w:uiPriority w:val="0"/>
    <w:pPr>
      <w:spacing w:beforeLines="0" w:afterLines="0"/>
      <w:jc w:val="left"/>
    </w:pPr>
    <w:rPr>
      <w:kern w:val="21"/>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2026-03-05T06:52:00Z</dcterms:created>
  <dc:creator>军</dc:creator>
  <cp:lastModifiedBy>军</cp:lastModifiedBy>
  <dcterms:modified xsi:type="dcterms:W3CDTF">2026-03-06T00:54:36Z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1328954ABC6E4AF996907973C974D9D3_11</vt:lpwstr>
  </property>
  <property fmtid="{D5CDD505-2E9C-101B-9397-08002B2CF9AE}" pid="4" name="KSOTemplateDocerSaveRecord">
    <vt:lpwstr>eyJoZGlkIjoiMmM3YzExOTI3NmY0MWI0OGY2ODY4MGMwY2U4NzZlMjUiLCJ1c2VySWQiOiI0NDM0NzgxOTYifQ==</vt:lpwstr>
  </property>
</Properties>
</file>