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vertAlign w:val="baseline"/>
        </w:rPr>
      </w:pPr>
    </w:p>
    <w:p>
      <w:pPr>
        <w:rPr>
          <w:vertAlign w:val="baseline"/>
        </w:rPr>
      </w:pPr>
    </w:p>
    <w:p>
      <w:pPr>
        <w:spacing w:line="360" w:lineRule="auto"/>
        <w:jc w:val="center"/>
        <w:rPr>
          <w:rFonts w:hint="eastAsia" w:ascii="宋体" w:cs="宋体"/>
          <w:b/>
          <w:kern w:val="0"/>
          <w:sz w:val="44"/>
          <w:szCs w:val="44"/>
        </w:rPr>
      </w:pPr>
      <w:r>
        <w:rPr>
          <w:rFonts w:hint="eastAsia" w:ascii="黑体" w:hAnsi="宋体" w:eastAsia="黑体"/>
          <w:sz w:val="44"/>
          <w:szCs w:val="44"/>
          <w:lang w:val="en-US" w:eastAsia="zh-CN"/>
        </w:rPr>
        <w:t>静配管理系统维保服务</w:t>
      </w:r>
      <w:r>
        <w:rPr>
          <w:rFonts w:hint="eastAsia" w:ascii="宋体" w:cs="宋体"/>
          <w:b/>
          <w:kern w:val="0"/>
          <w:sz w:val="44"/>
          <w:szCs w:val="44"/>
        </w:rPr>
        <w:t>内容</w:t>
      </w:r>
    </w:p>
    <w:p>
      <w:pPr>
        <w:pStyle w:val="2"/>
        <w:numPr>
          <w:ilvl w:val="0"/>
          <w:numId w:val="2"/>
        </w:numPr>
        <w:ind w:leftChars="0"/>
        <w:rPr>
          <w:rFonts w:hint="eastAsia" w:ascii="宋体" w:hAnsi="宋体" w:eastAsia="宋体" w:cs="宋体"/>
          <w:sz w:val="24"/>
          <w:szCs w:val="24"/>
          <w:vertAlign w:val="baseline"/>
        </w:rPr>
      </w:pPr>
      <w:r>
        <w:rPr>
          <w:rFonts w:hint="eastAsia" w:ascii="宋体" w:hAnsi="宋体" w:eastAsia="宋体" w:cs="宋体"/>
          <w:b w:val="0"/>
          <w:bCs/>
          <w:kern w:val="0"/>
          <w:sz w:val="24"/>
          <w:szCs w:val="24"/>
          <w:lang w:val="en-US" w:eastAsia="zh-CN"/>
        </w:rPr>
        <w:t>静配管理系统维保</w:t>
      </w:r>
      <w:r>
        <w:rPr>
          <w:rFonts w:hint="eastAsia" w:ascii="宋体" w:hAnsi="宋体" w:eastAsia="宋体" w:cs="宋体"/>
          <w:b w:val="0"/>
          <w:bCs/>
          <w:kern w:val="0"/>
          <w:sz w:val="24"/>
          <w:szCs w:val="24"/>
        </w:rPr>
        <w:t>内容</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420" w:leftChars="0"/>
        <w:jc w:val="left"/>
        <w:textAlignment w:val="auto"/>
        <w:rPr>
          <w:rFonts w:hint="eastAsia" w:ascii="宋体" w:hAnsi="宋体" w:eastAsia="宋体" w:cs="宋体"/>
          <w:sz w:val="24"/>
          <w:szCs w:val="24"/>
        </w:rPr>
      </w:pPr>
      <w:r>
        <w:rPr>
          <w:rFonts w:hint="eastAsia" w:ascii="宋体" w:hAnsi="宋体" w:eastAsia="宋体" w:cs="宋体"/>
          <w:sz w:val="24"/>
          <w:szCs w:val="24"/>
        </w:rPr>
        <w:t>静脉药物配置中心软件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包含</w:t>
      </w:r>
      <w:r>
        <w:rPr>
          <w:rFonts w:hint="eastAsia" w:ascii="宋体" w:hAnsi="宋体" w:eastAsia="宋体" w:cs="宋体"/>
          <w:sz w:val="24"/>
          <w:szCs w:val="24"/>
        </w:rPr>
        <w:t>住院静配系统、门急诊静配系统、静配中心自动批次管理系统、静配追溯管理系统（住院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门急诊</w:t>
      </w:r>
      <w:r>
        <w:rPr>
          <w:rFonts w:hint="eastAsia" w:ascii="宋体" w:hAnsi="宋体" w:eastAsia="宋体" w:cs="宋体"/>
          <w:sz w:val="24"/>
          <w:szCs w:val="24"/>
        </w:rPr>
        <w:t>静配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成品接收管理系统、差错及报表管理</w:t>
      </w:r>
      <w:r>
        <w:rPr>
          <w:rFonts w:hint="eastAsia" w:ascii="宋体" w:hAnsi="宋体" w:cs="宋体"/>
          <w:sz w:val="24"/>
          <w:szCs w:val="24"/>
          <w:lang w:val="en-US" w:eastAsia="zh-CN"/>
        </w:rPr>
        <w:t>、药品管理、配液管理、基础数据管理、系统管理。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rPr>
        <w:t>服务期限</w:t>
      </w:r>
      <w:r>
        <w:rPr>
          <w:rFonts w:hint="eastAsia" w:ascii="宋体" w:hAnsi="宋体" w:eastAsia="宋体" w:cs="宋体"/>
          <w:sz w:val="24"/>
          <w:szCs w:val="24"/>
          <w:lang w:eastAsia="zh-CN"/>
        </w:rPr>
        <w:t>：</w:t>
      </w:r>
      <w:r>
        <w:rPr>
          <w:rFonts w:hint="eastAsia" w:ascii="宋体" w:hAnsi="宋体" w:eastAsia="宋体" w:cs="宋体"/>
          <w:sz w:val="24"/>
          <w:szCs w:val="24"/>
        </w:rPr>
        <w:t>自</w:t>
      </w:r>
      <w:r>
        <w:rPr>
          <w:rFonts w:hint="eastAsia" w:ascii="宋体" w:hAnsi="宋体" w:cs="宋体"/>
          <w:sz w:val="24"/>
          <w:szCs w:val="24"/>
          <w:lang w:val="en-US" w:eastAsia="zh-CN"/>
        </w:rPr>
        <w:t>签订合同之日开始算起一年内</w:t>
      </w:r>
    </w:p>
    <w:p>
      <w:pPr>
        <w:rPr>
          <w:rFonts w:hint="eastAsia" w:ascii="宋体" w:hAnsi="宋体" w:eastAsia="宋体" w:cs="宋体"/>
          <w:sz w:val="24"/>
          <w:szCs w:val="24"/>
          <w:vertAlign w:val="baseline"/>
          <w:lang w:val="en-US" w:eastAsia="zh-CN"/>
        </w:rPr>
      </w:pPr>
    </w:p>
    <w:p>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三、服务范围</w:t>
      </w:r>
    </w:p>
    <w:p>
      <w:pPr>
        <w:rPr>
          <w:sz w:val="24"/>
          <w:szCs w:val="24"/>
          <w:vertAlign w:val="baseline"/>
        </w:rPr>
      </w:pPr>
    </w:p>
    <w:tbl>
      <w:tblPr>
        <w:tblStyle w:val="3"/>
        <w:tblW w:w="9560" w:type="dxa"/>
        <w:jc w:val="center"/>
        <w:tblLayout w:type="fixed"/>
        <w:tblCellMar>
          <w:top w:w="0" w:type="dxa"/>
          <w:left w:w="28" w:type="dxa"/>
          <w:bottom w:w="0" w:type="dxa"/>
          <w:right w:w="28" w:type="dxa"/>
        </w:tblCellMar>
      </w:tblPr>
      <w:tblGrid>
        <w:gridCol w:w="724"/>
        <w:gridCol w:w="1316"/>
        <w:gridCol w:w="4213"/>
        <w:gridCol w:w="1576"/>
        <w:gridCol w:w="1731"/>
      </w:tblGrid>
      <w:tr>
        <w:tblPrEx>
          <w:tblCellMar>
            <w:top w:w="0" w:type="dxa"/>
            <w:left w:w="28" w:type="dxa"/>
            <w:bottom w:w="0" w:type="dxa"/>
            <w:right w:w="28" w:type="dxa"/>
          </w:tblCellMar>
        </w:tblPrEx>
        <w:trPr>
          <w:trHeight w:val="20" w:hRule="atLeast"/>
          <w:jc w:val="center"/>
        </w:trPr>
        <w:tc>
          <w:tcPr>
            <w:tcW w:w="9560" w:type="dxa"/>
            <w:gridSpan w:val="5"/>
            <w:tcBorders>
              <w:top w:val="single" w:color="000000" w:sz="12" w:space="0"/>
              <w:left w:val="single" w:color="000000" w:sz="12"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color w:val="000000"/>
                <w:sz w:val="21"/>
                <w:szCs w:val="21"/>
                <w:lang w:val="zh-CN"/>
              </w:rPr>
              <w:t>功能应用维护</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right w:val="single" w:color="auto" w:sz="4"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316" w:type="dxa"/>
            <w:tcBorders>
              <w:top w:val="single" w:color="000000" w:sz="12" w:space="0"/>
              <w:left w:val="single" w:color="auto" w:sz="4" w:space="0"/>
              <w:right w:val="single" w:color="auto" w:sz="4" w:space="0"/>
            </w:tcBorders>
            <w:noWrap w:val="0"/>
            <w:vAlign w:val="center"/>
          </w:tcPr>
          <w:p>
            <w:pPr>
              <w:autoSpaceDE w:val="0"/>
              <w:autoSpaceDN w:val="0"/>
              <w:adjustRightInd w:val="0"/>
              <w:snapToGrid w:val="0"/>
              <w:spacing w:line="360" w:lineRule="auto"/>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服务项目</w:t>
            </w:r>
          </w:p>
        </w:tc>
        <w:tc>
          <w:tcPr>
            <w:tcW w:w="4213"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服务内容</w:t>
            </w:r>
          </w:p>
        </w:tc>
        <w:tc>
          <w:tcPr>
            <w:tcW w:w="1576"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服务方式</w:t>
            </w:r>
          </w:p>
        </w:tc>
        <w:tc>
          <w:tcPr>
            <w:tcW w:w="1731"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响应时间</w:t>
            </w:r>
          </w:p>
        </w:tc>
      </w:tr>
      <w:tr>
        <w:tblPrEx>
          <w:tblCellMar>
            <w:top w:w="0" w:type="dxa"/>
            <w:left w:w="28" w:type="dxa"/>
            <w:bottom w:w="0" w:type="dxa"/>
            <w:right w:w="28" w:type="dxa"/>
          </w:tblCellMar>
        </w:tblPrEx>
        <w:trPr>
          <w:trHeight w:val="850" w:hRule="atLeast"/>
          <w:jc w:val="center"/>
        </w:trPr>
        <w:tc>
          <w:tcPr>
            <w:tcW w:w="724" w:type="dxa"/>
            <w:tcBorders>
              <w:top w:val="single" w:color="000000" w:sz="12" w:space="0"/>
              <w:left w:val="single" w:color="000000" w:sz="12"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1</w:t>
            </w:r>
          </w:p>
        </w:tc>
        <w:tc>
          <w:tcPr>
            <w:tcW w:w="1316" w:type="dxa"/>
            <w:tcBorders>
              <w:top w:val="single" w:color="000000" w:sz="12"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cs="宋体"/>
                <w:spacing w:val="6"/>
                <w:kern w:val="0"/>
                <w:sz w:val="21"/>
                <w:szCs w:val="21"/>
                <w:lang w:val="en-US" w:eastAsia="zh-CN"/>
              </w:rPr>
              <w:t>软件</w:t>
            </w:r>
            <w:r>
              <w:rPr>
                <w:rFonts w:hint="eastAsia" w:ascii="宋体" w:hAnsi="宋体" w:eastAsia="宋体" w:cs="宋体"/>
                <w:spacing w:val="6"/>
                <w:kern w:val="0"/>
                <w:sz w:val="21"/>
                <w:szCs w:val="21"/>
              </w:rPr>
              <w:t>咨询服务</w:t>
            </w:r>
          </w:p>
        </w:tc>
        <w:tc>
          <w:tcPr>
            <w:tcW w:w="4213" w:type="dxa"/>
            <w:tcBorders>
              <w:top w:val="single" w:color="000000" w:sz="12" w:space="0"/>
              <w:left w:val="single" w:color="000000" w:sz="6" w:space="0"/>
              <w:bottom w:val="single" w:color="auto" w:sz="4" w:space="0"/>
              <w:right w:val="single" w:color="000000" w:sz="6" w:space="0"/>
            </w:tcBorders>
            <w:noWrap w:val="0"/>
            <w:vAlign w:val="center"/>
          </w:tcPr>
          <w:p>
            <w:pPr>
              <w:numPr>
                <w:ilvl w:val="0"/>
                <w:numId w:val="4"/>
              </w:numPr>
              <w:adjustRightInd w:val="0"/>
              <w:snapToGrid w:val="0"/>
              <w:spacing w:line="360" w:lineRule="auto"/>
              <w:rPr>
                <w:rFonts w:hint="eastAsia" w:ascii="宋体" w:hAnsi="宋体" w:cs="宋体"/>
                <w:spacing w:val="6"/>
                <w:kern w:val="0"/>
                <w:sz w:val="21"/>
                <w:szCs w:val="21"/>
                <w:lang w:val="en-US" w:eastAsia="zh-CN"/>
              </w:rPr>
            </w:pPr>
            <w:r>
              <w:rPr>
                <w:rFonts w:hint="eastAsia" w:ascii="宋体" w:hAnsi="宋体" w:cs="宋体"/>
                <w:spacing w:val="6"/>
                <w:kern w:val="0"/>
                <w:sz w:val="21"/>
                <w:szCs w:val="21"/>
                <w:lang w:val="en-US" w:eastAsia="zh-CN"/>
              </w:rPr>
              <w:t>软件出错</w:t>
            </w:r>
          </w:p>
          <w:p>
            <w:pPr>
              <w:numPr>
                <w:ilvl w:val="0"/>
                <w:numId w:val="4"/>
              </w:numPr>
              <w:adjustRightInd w:val="0"/>
              <w:snapToGrid w:val="0"/>
              <w:spacing w:line="360" w:lineRule="auto"/>
              <w:rPr>
                <w:rFonts w:hint="default" w:ascii="宋体" w:hAnsi="宋体" w:cs="宋体"/>
                <w:spacing w:val="6"/>
                <w:kern w:val="0"/>
                <w:sz w:val="21"/>
                <w:szCs w:val="21"/>
                <w:lang w:val="en-US" w:eastAsia="zh-CN"/>
              </w:rPr>
            </w:pPr>
            <w:r>
              <w:rPr>
                <w:rFonts w:hint="eastAsia" w:ascii="宋体" w:hAnsi="宋体" w:cs="宋体"/>
                <w:spacing w:val="6"/>
                <w:kern w:val="0"/>
                <w:sz w:val="21"/>
                <w:szCs w:val="21"/>
                <w:lang w:val="en-US" w:eastAsia="zh-CN"/>
              </w:rPr>
              <w:t>软件死机</w:t>
            </w:r>
          </w:p>
          <w:p>
            <w:pPr>
              <w:numPr>
                <w:ilvl w:val="0"/>
                <w:numId w:val="4"/>
              </w:numPr>
              <w:adjustRightInd w:val="0"/>
              <w:snapToGrid w:val="0"/>
              <w:spacing w:line="360" w:lineRule="auto"/>
              <w:rPr>
                <w:rFonts w:hint="default" w:ascii="宋体" w:hAnsi="宋体" w:cs="宋体"/>
                <w:spacing w:val="6"/>
                <w:kern w:val="0"/>
                <w:sz w:val="21"/>
                <w:szCs w:val="21"/>
                <w:lang w:val="en-US" w:eastAsia="zh-CN"/>
              </w:rPr>
            </w:pPr>
            <w:r>
              <w:rPr>
                <w:rFonts w:hint="eastAsia" w:ascii="宋体" w:hAnsi="宋体" w:cs="宋体"/>
                <w:spacing w:val="6"/>
                <w:kern w:val="0"/>
                <w:sz w:val="21"/>
                <w:szCs w:val="21"/>
                <w:lang w:val="en-US" w:eastAsia="zh-CN"/>
              </w:rPr>
              <w:t>数据错误</w:t>
            </w:r>
          </w:p>
          <w:p>
            <w:pPr>
              <w:numPr>
                <w:ilvl w:val="0"/>
                <w:numId w:val="4"/>
              </w:numPr>
              <w:adjustRightInd w:val="0"/>
              <w:snapToGrid w:val="0"/>
              <w:spacing w:line="360" w:lineRule="auto"/>
              <w:rPr>
                <w:rFonts w:hint="default" w:ascii="宋体" w:hAnsi="宋体" w:cs="宋体"/>
                <w:spacing w:val="6"/>
                <w:kern w:val="0"/>
                <w:sz w:val="21"/>
                <w:szCs w:val="21"/>
                <w:lang w:val="en-US" w:eastAsia="zh-CN"/>
              </w:rPr>
            </w:pPr>
            <w:r>
              <w:rPr>
                <w:rFonts w:hint="eastAsia" w:ascii="宋体" w:hAnsi="宋体" w:cs="宋体"/>
                <w:spacing w:val="6"/>
                <w:kern w:val="0"/>
                <w:sz w:val="21"/>
                <w:szCs w:val="21"/>
                <w:lang w:val="en-US" w:eastAsia="zh-CN"/>
              </w:rPr>
              <w:t>仪器接口错误</w:t>
            </w:r>
          </w:p>
        </w:tc>
        <w:tc>
          <w:tcPr>
            <w:tcW w:w="1576" w:type="dxa"/>
            <w:tcBorders>
              <w:top w:val="single" w:color="000000" w:sz="12"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电话、微信</w:t>
            </w:r>
          </w:p>
        </w:tc>
        <w:tc>
          <w:tcPr>
            <w:tcW w:w="1731" w:type="dxa"/>
            <w:tcBorders>
              <w:top w:val="single" w:color="000000" w:sz="12"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1小时内响应</w:t>
            </w:r>
          </w:p>
        </w:tc>
      </w:tr>
      <w:tr>
        <w:tblPrEx>
          <w:tblCellMar>
            <w:top w:w="0" w:type="dxa"/>
            <w:left w:w="28" w:type="dxa"/>
            <w:bottom w:w="0" w:type="dxa"/>
            <w:right w:w="28" w:type="dxa"/>
          </w:tblCellMar>
        </w:tblPrEx>
        <w:trPr>
          <w:trHeight w:val="20"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2</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cs="宋体"/>
                <w:spacing w:val="6"/>
                <w:kern w:val="0"/>
                <w:sz w:val="21"/>
                <w:szCs w:val="21"/>
                <w:lang w:val="en-US" w:eastAsia="zh-CN"/>
              </w:rPr>
              <w:t>应急</w:t>
            </w:r>
            <w:r>
              <w:rPr>
                <w:rFonts w:hint="eastAsia" w:ascii="宋体" w:hAnsi="宋体" w:eastAsia="宋体" w:cs="宋体"/>
                <w:spacing w:val="6"/>
                <w:kern w:val="0"/>
                <w:sz w:val="21"/>
                <w:szCs w:val="21"/>
              </w:rPr>
              <w:t>故障排除</w:t>
            </w:r>
          </w:p>
        </w:tc>
        <w:tc>
          <w:tcPr>
            <w:tcW w:w="4213" w:type="dxa"/>
            <w:tcBorders>
              <w:top w:val="single" w:color="auto" w:sz="4" w:space="0"/>
              <w:left w:val="single" w:color="000000" w:sz="6" w:space="0"/>
              <w:bottom w:val="single" w:color="auto" w:sz="4" w:space="0"/>
              <w:right w:val="single" w:color="000000" w:sz="6" w:space="0"/>
            </w:tcBorders>
            <w:noWrap w:val="0"/>
            <w:vAlign w:val="center"/>
          </w:tcPr>
          <w:p>
            <w:pPr>
              <w:numPr>
                <w:ilvl w:val="0"/>
                <w:numId w:val="0"/>
              </w:num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软件应用过程中出现功能错误时</w:t>
            </w:r>
            <w:r>
              <w:rPr>
                <w:rFonts w:hint="eastAsia" w:ascii="宋体" w:hAnsi="宋体" w:cs="宋体"/>
                <w:spacing w:val="6"/>
                <w:kern w:val="0"/>
                <w:sz w:val="21"/>
                <w:szCs w:val="21"/>
                <w:lang w:eastAsia="zh-CN"/>
              </w:rPr>
              <w:t>、</w:t>
            </w:r>
            <w:r>
              <w:rPr>
                <w:rFonts w:hint="eastAsia" w:ascii="宋体" w:hAnsi="宋体" w:cs="宋体"/>
                <w:spacing w:val="6"/>
                <w:kern w:val="0"/>
                <w:sz w:val="21"/>
                <w:szCs w:val="21"/>
                <w:lang w:val="en-US" w:eastAsia="zh-CN"/>
              </w:rPr>
              <w:t>数据库或仪器接口故障等，导致系统无法正常运行且电话无法解决时，公司在接到故障报障后应立即响应，且2小时内派出工程师到现场协助解决。</w:t>
            </w:r>
          </w:p>
        </w:tc>
        <w:tc>
          <w:tcPr>
            <w:tcW w:w="1576" w:type="dxa"/>
            <w:tcBorders>
              <w:top w:val="single" w:color="auto" w:sz="4"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电话、网络远程、微信、现场</w:t>
            </w:r>
          </w:p>
        </w:tc>
        <w:tc>
          <w:tcPr>
            <w:tcW w:w="1731" w:type="dxa"/>
            <w:tcBorders>
              <w:top w:val="single" w:color="auto" w:sz="4" w:space="0"/>
              <w:left w:val="single" w:color="000000" w:sz="6"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2小时内响应</w:t>
            </w:r>
          </w:p>
        </w:tc>
      </w:tr>
      <w:tr>
        <w:tblPrEx>
          <w:tblCellMar>
            <w:top w:w="0" w:type="dxa"/>
            <w:left w:w="28" w:type="dxa"/>
            <w:bottom w:w="0" w:type="dxa"/>
            <w:right w:w="28" w:type="dxa"/>
          </w:tblCellMar>
        </w:tblPrEx>
        <w:trPr>
          <w:trHeight w:val="2835" w:hRule="atLeast"/>
          <w:jc w:val="center"/>
        </w:trPr>
        <w:tc>
          <w:tcPr>
            <w:tcW w:w="724" w:type="dxa"/>
            <w:tcBorders>
              <w:top w:val="single" w:color="auto" w:sz="4" w:space="0"/>
              <w:left w:val="single" w:color="000000" w:sz="12"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lang w:val="en-US" w:eastAsia="zh-CN"/>
              </w:rPr>
            </w:pPr>
            <w:r>
              <w:rPr>
                <w:rFonts w:hint="eastAsia" w:ascii="宋体" w:hAnsi="宋体" w:eastAsia="宋体" w:cs="宋体"/>
                <w:spacing w:val="6"/>
                <w:kern w:val="0"/>
                <w:sz w:val="21"/>
                <w:szCs w:val="21"/>
                <w:lang w:val="en-US" w:eastAsia="zh-CN"/>
              </w:rPr>
              <w:t>3</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default"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系统更新与优化</w:t>
            </w:r>
          </w:p>
        </w:tc>
        <w:tc>
          <w:tcPr>
            <w:tcW w:w="4213" w:type="dxa"/>
            <w:tcBorders>
              <w:top w:val="single" w:color="auto" w:sz="4"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default"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优化软件功能与性能，在服务方推出同版本的新升级程序后，对用户系统进行升级。</w:t>
            </w:r>
          </w:p>
        </w:tc>
        <w:tc>
          <w:tcPr>
            <w:tcW w:w="1576" w:type="dxa"/>
            <w:tcBorders>
              <w:top w:val="single" w:color="auto" w:sz="4"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网络远程、现场</w:t>
            </w:r>
          </w:p>
        </w:tc>
        <w:tc>
          <w:tcPr>
            <w:tcW w:w="1731" w:type="dxa"/>
            <w:tcBorders>
              <w:top w:val="single" w:color="auto" w:sz="4"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2小时内响应</w:t>
            </w:r>
          </w:p>
        </w:tc>
      </w:tr>
      <w:tr>
        <w:tblPrEx>
          <w:tblCellMar>
            <w:top w:w="0" w:type="dxa"/>
            <w:left w:w="28" w:type="dxa"/>
            <w:bottom w:w="0" w:type="dxa"/>
            <w:right w:w="28" w:type="dxa"/>
          </w:tblCellMar>
        </w:tblPrEx>
        <w:trPr>
          <w:trHeight w:val="2835" w:hRule="atLeast"/>
          <w:jc w:val="center"/>
        </w:trPr>
        <w:tc>
          <w:tcPr>
            <w:tcW w:w="724" w:type="dxa"/>
            <w:tcBorders>
              <w:top w:val="single" w:color="auto" w:sz="4" w:space="0"/>
              <w:left w:val="single" w:color="000000" w:sz="12" w:space="0"/>
              <w:bottom w:val="single" w:color="auto" w:sz="4" w:space="0"/>
              <w:right w:val="single" w:color="auto" w:sz="4" w:space="0"/>
            </w:tcBorders>
            <w:noWrap w:val="0"/>
            <w:vAlign w:val="center"/>
          </w:tcPr>
          <w:p>
            <w:pPr>
              <w:adjustRightInd w:val="0"/>
              <w:snapToGrid w:val="0"/>
              <w:spacing w:line="360" w:lineRule="auto"/>
              <w:jc w:val="center"/>
              <w:rPr>
                <w:rFonts w:hint="default"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4</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default" w:ascii="宋体" w:hAnsi="宋体" w:cs="宋体"/>
                <w:spacing w:val="6"/>
                <w:kern w:val="0"/>
                <w:sz w:val="21"/>
                <w:szCs w:val="21"/>
                <w:lang w:val="en-US" w:eastAsia="zh-CN"/>
              </w:rPr>
            </w:pPr>
            <w:r>
              <w:rPr>
                <w:rFonts w:hint="eastAsia" w:ascii="宋体" w:hAnsi="宋体" w:cs="宋体"/>
                <w:spacing w:val="6"/>
                <w:kern w:val="0"/>
                <w:sz w:val="21"/>
                <w:szCs w:val="21"/>
                <w:lang w:val="en-US" w:eastAsia="zh-CN"/>
              </w:rPr>
              <w:t>报表制作及调整</w:t>
            </w:r>
          </w:p>
        </w:tc>
        <w:tc>
          <w:tcPr>
            <w:tcW w:w="4213" w:type="dxa"/>
            <w:tcBorders>
              <w:top w:val="single" w:color="auto" w:sz="4"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default" w:ascii="宋体" w:hAnsi="宋体" w:cs="宋体"/>
                <w:spacing w:val="6"/>
                <w:kern w:val="0"/>
                <w:sz w:val="21"/>
                <w:szCs w:val="21"/>
                <w:lang w:val="en-US" w:eastAsia="zh-CN"/>
              </w:rPr>
            </w:pPr>
            <w:r>
              <w:rPr>
                <w:rFonts w:hint="eastAsia"/>
                <w:lang w:val="en-US" w:eastAsia="zh-CN"/>
              </w:rPr>
              <w:t>用户提交详细的需求，并画出报表格式及数据统计方式，服务方安排专业的报表工程师进行解决。</w:t>
            </w:r>
          </w:p>
        </w:tc>
        <w:tc>
          <w:tcPr>
            <w:tcW w:w="1576" w:type="dxa"/>
            <w:tcBorders>
              <w:top w:val="single" w:color="auto" w:sz="4"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电话、网络远程、微信、现场</w:t>
            </w:r>
          </w:p>
        </w:tc>
        <w:tc>
          <w:tcPr>
            <w:tcW w:w="1731" w:type="dxa"/>
            <w:tcBorders>
              <w:top w:val="single" w:color="auto" w:sz="4"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2小时内响应</w:t>
            </w:r>
          </w:p>
        </w:tc>
      </w:tr>
      <w:tr>
        <w:tblPrEx>
          <w:tblCellMar>
            <w:top w:w="0" w:type="dxa"/>
            <w:left w:w="28" w:type="dxa"/>
            <w:bottom w:w="0" w:type="dxa"/>
            <w:right w:w="28" w:type="dxa"/>
          </w:tblCellMar>
        </w:tblPrEx>
        <w:trPr>
          <w:trHeight w:val="20" w:hRule="atLeast"/>
          <w:jc w:val="center"/>
        </w:trPr>
        <w:tc>
          <w:tcPr>
            <w:tcW w:w="9560" w:type="dxa"/>
            <w:gridSpan w:val="5"/>
            <w:tcBorders>
              <w:top w:val="single" w:color="auto" w:sz="4" w:space="0"/>
              <w:left w:val="single" w:color="000000" w:sz="12" w:space="0"/>
              <w:right w:val="single" w:color="auto" w:sz="4"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color w:val="000000"/>
                <w:sz w:val="21"/>
                <w:szCs w:val="21"/>
                <w:lang w:val="zh-CN"/>
              </w:rPr>
              <w:t>数据维护</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bottom w:val="single" w:color="000000" w:sz="12" w:space="0"/>
              <w:right w:val="single" w:color="auto" w:sz="4"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316" w:type="dxa"/>
            <w:tcBorders>
              <w:top w:val="single" w:color="000000" w:sz="12" w:space="0"/>
              <w:left w:val="single" w:color="auto" w:sz="4" w:space="0"/>
              <w:bottom w:val="single" w:color="000000" w:sz="12" w:space="0"/>
              <w:right w:val="single" w:color="auto" w:sz="4"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服务项目</w:t>
            </w:r>
          </w:p>
        </w:tc>
        <w:tc>
          <w:tcPr>
            <w:tcW w:w="4213"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服务内容</w:t>
            </w:r>
          </w:p>
        </w:tc>
        <w:tc>
          <w:tcPr>
            <w:tcW w:w="1576"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服务方式</w:t>
            </w:r>
          </w:p>
        </w:tc>
        <w:tc>
          <w:tcPr>
            <w:tcW w:w="1731" w:type="dxa"/>
            <w:tcBorders>
              <w:top w:val="single" w:color="000000" w:sz="12" w:space="0"/>
              <w:left w:val="single" w:color="000000" w:sz="6" w:space="0"/>
              <w:bottom w:val="single" w:color="000000" w:sz="12"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响应时间</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5</w:t>
            </w:r>
          </w:p>
        </w:tc>
        <w:tc>
          <w:tcPr>
            <w:tcW w:w="1316" w:type="dxa"/>
            <w:tcBorders>
              <w:top w:val="single" w:color="000000" w:sz="12"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数据恢复</w:t>
            </w:r>
          </w:p>
        </w:tc>
        <w:tc>
          <w:tcPr>
            <w:tcW w:w="4213" w:type="dxa"/>
            <w:tcBorders>
              <w:top w:val="single" w:color="000000" w:sz="12"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因甲方操作不当或其它原因导致财务数据丢失，协助甲方系统维护人员恢复财务数据。</w:t>
            </w:r>
          </w:p>
        </w:tc>
        <w:tc>
          <w:tcPr>
            <w:tcW w:w="1576" w:type="dxa"/>
            <w:tcBorders>
              <w:top w:val="single" w:color="000000" w:sz="12"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现场</w:t>
            </w:r>
          </w:p>
        </w:tc>
        <w:tc>
          <w:tcPr>
            <w:tcW w:w="1731" w:type="dxa"/>
            <w:tcBorders>
              <w:top w:val="single" w:color="000000" w:sz="12" w:space="0"/>
              <w:left w:val="single" w:color="000000" w:sz="6" w:space="0"/>
              <w:bottom w:val="single" w:color="auto" w:sz="4"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2小时内响应</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right w:val="single" w:color="auto" w:sz="4"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6</w:t>
            </w:r>
          </w:p>
        </w:tc>
        <w:tc>
          <w:tcPr>
            <w:tcW w:w="1316" w:type="dxa"/>
            <w:tcBorders>
              <w:top w:val="single" w:color="000000" w:sz="12" w:space="0"/>
              <w:left w:val="single" w:color="auto" w:sz="4"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color w:val="FF0000"/>
                <w:spacing w:val="6"/>
                <w:kern w:val="0"/>
                <w:sz w:val="21"/>
                <w:szCs w:val="21"/>
              </w:rPr>
              <w:t>特殊服务</w:t>
            </w:r>
          </w:p>
        </w:tc>
        <w:tc>
          <w:tcPr>
            <w:tcW w:w="4213" w:type="dxa"/>
            <w:tcBorders>
              <w:top w:val="single" w:color="000000" w:sz="12" w:space="0"/>
              <w:left w:val="single" w:color="000000" w:sz="6" w:space="0"/>
              <w:right w:val="single" w:color="000000" w:sz="6" w:space="0"/>
            </w:tcBorders>
            <w:noWrap w:val="0"/>
            <w:vAlign w:val="center"/>
          </w:tcPr>
          <w:p>
            <w:pPr>
              <w:adjustRightInd w:val="0"/>
              <w:snapToGrid w:val="0"/>
              <w:spacing w:line="360" w:lineRule="auto"/>
              <w:rPr>
                <w:rFonts w:hint="eastAsia" w:ascii="宋体" w:hAnsi="宋体" w:eastAsia="宋体" w:cs="宋体"/>
                <w:color w:val="FF0000"/>
                <w:spacing w:val="6"/>
                <w:kern w:val="0"/>
                <w:sz w:val="21"/>
                <w:szCs w:val="21"/>
              </w:rPr>
            </w:pPr>
            <w:r>
              <w:rPr>
                <w:rFonts w:hint="eastAsia" w:ascii="宋体" w:hAnsi="宋体" w:eastAsia="宋体" w:cs="宋体"/>
                <w:color w:val="FF0000"/>
                <w:spacing w:val="6"/>
                <w:kern w:val="0"/>
                <w:sz w:val="21"/>
                <w:szCs w:val="21"/>
              </w:rPr>
              <w:t>系统灾难发生时，乙方承诺立即响应，减少数据损失，降低灾难对整个系统正常运行的影响。</w:t>
            </w:r>
          </w:p>
          <w:p>
            <w:pPr>
              <w:adjustRightInd w:val="0"/>
              <w:snapToGrid w:val="0"/>
              <w:spacing w:line="360" w:lineRule="auto"/>
              <w:rPr>
                <w:rFonts w:hint="eastAsia" w:ascii="宋体" w:hAnsi="宋体" w:eastAsia="宋体" w:cs="宋体"/>
                <w:color w:val="FF0000"/>
                <w:spacing w:val="6"/>
                <w:kern w:val="0"/>
                <w:sz w:val="21"/>
                <w:szCs w:val="21"/>
              </w:rPr>
            </w:pPr>
          </w:p>
        </w:tc>
        <w:tc>
          <w:tcPr>
            <w:tcW w:w="1576" w:type="dxa"/>
            <w:tcBorders>
              <w:top w:val="single" w:color="000000" w:sz="12" w:space="0"/>
              <w:left w:val="single" w:color="000000" w:sz="6"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color w:val="FF0000"/>
                <w:spacing w:val="6"/>
                <w:kern w:val="0"/>
                <w:sz w:val="21"/>
                <w:szCs w:val="21"/>
              </w:rPr>
              <w:t>现场</w:t>
            </w:r>
          </w:p>
        </w:tc>
        <w:tc>
          <w:tcPr>
            <w:tcW w:w="1731" w:type="dxa"/>
            <w:tcBorders>
              <w:top w:val="single" w:color="000000" w:sz="12" w:space="0"/>
              <w:left w:val="single" w:color="000000" w:sz="6"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color w:val="FF0000"/>
                <w:spacing w:val="6"/>
                <w:kern w:val="0"/>
                <w:sz w:val="21"/>
                <w:szCs w:val="21"/>
              </w:rPr>
              <w:t>立即响应</w:t>
            </w:r>
          </w:p>
        </w:tc>
      </w:tr>
      <w:tr>
        <w:tblPrEx>
          <w:tblCellMar>
            <w:top w:w="0" w:type="dxa"/>
            <w:left w:w="28" w:type="dxa"/>
            <w:bottom w:w="0" w:type="dxa"/>
            <w:right w:w="28" w:type="dxa"/>
          </w:tblCellMar>
        </w:tblPrEx>
        <w:trPr>
          <w:trHeight w:val="20" w:hRule="atLeast"/>
          <w:jc w:val="center"/>
        </w:trPr>
        <w:tc>
          <w:tcPr>
            <w:tcW w:w="9560" w:type="dxa"/>
            <w:gridSpan w:val="5"/>
            <w:tcBorders>
              <w:top w:val="single" w:color="000000" w:sz="12" w:space="0"/>
              <w:left w:val="single" w:color="000000" w:sz="12" w:space="0"/>
              <w:right w:val="single" w:color="000000" w:sz="6" w:space="0"/>
            </w:tcBorders>
            <w:noWrap w:val="0"/>
            <w:vAlign w:val="center"/>
          </w:tcPr>
          <w:p>
            <w:pPr>
              <w:adjustRightInd w:val="0"/>
              <w:snapToGrid w:val="0"/>
              <w:spacing w:line="360" w:lineRule="auto"/>
              <w:jc w:val="center"/>
              <w:rPr>
                <w:rFonts w:hint="eastAsia" w:ascii="宋体" w:hAnsi="宋体" w:eastAsia="宋体" w:cs="宋体"/>
                <w:color w:val="FF0000"/>
                <w:spacing w:val="6"/>
                <w:kern w:val="0"/>
                <w:sz w:val="21"/>
                <w:szCs w:val="21"/>
              </w:rPr>
            </w:pPr>
            <w:r>
              <w:rPr>
                <w:rFonts w:hint="eastAsia" w:ascii="宋体" w:hAnsi="宋体" w:eastAsia="宋体" w:cs="宋体"/>
                <w:b/>
                <w:color w:val="000000"/>
                <w:sz w:val="21"/>
                <w:szCs w:val="21"/>
                <w:lang w:val="zh-CN"/>
              </w:rPr>
              <w:t>其他服务</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right w:val="single" w:color="auto" w:sz="4"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316" w:type="dxa"/>
            <w:tcBorders>
              <w:top w:val="single" w:color="000000" w:sz="12" w:space="0"/>
              <w:left w:val="single" w:color="auto" w:sz="4" w:space="0"/>
              <w:right w:val="single" w:color="auto" w:sz="4"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服务项目</w:t>
            </w:r>
          </w:p>
        </w:tc>
        <w:tc>
          <w:tcPr>
            <w:tcW w:w="4213"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服务内容</w:t>
            </w:r>
          </w:p>
        </w:tc>
        <w:tc>
          <w:tcPr>
            <w:tcW w:w="1576"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服务方式</w:t>
            </w:r>
          </w:p>
        </w:tc>
        <w:tc>
          <w:tcPr>
            <w:tcW w:w="1731"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响应时间</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right w:val="single" w:color="auto" w:sz="4"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7</w:t>
            </w:r>
          </w:p>
        </w:tc>
        <w:tc>
          <w:tcPr>
            <w:tcW w:w="1316" w:type="dxa"/>
            <w:tcBorders>
              <w:top w:val="single" w:color="000000" w:sz="12" w:space="0"/>
              <w:left w:val="single" w:color="auto" w:sz="4" w:space="0"/>
              <w:right w:val="single" w:color="auto" w:sz="4"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spacing w:val="6"/>
                <w:kern w:val="0"/>
                <w:sz w:val="21"/>
                <w:szCs w:val="21"/>
              </w:rPr>
              <w:t>管理培训</w:t>
            </w:r>
          </w:p>
        </w:tc>
        <w:tc>
          <w:tcPr>
            <w:tcW w:w="4213"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spacing w:val="6"/>
                <w:kern w:val="0"/>
                <w:sz w:val="21"/>
                <w:szCs w:val="21"/>
              </w:rPr>
              <w:t>对甲方管理人员或相关负责人进行系统的管理思想、管理流程统一培训。</w:t>
            </w:r>
          </w:p>
        </w:tc>
        <w:tc>
          <w:tcPr>
            <w:tcW w:w="1576"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spacing w:val="6"/>
                <w:kern w:val="0"/>
                <w:sz w:val="21"/>
                <w:szCs w:val="21"/>
              </w:rPr>
              <w:t>甲方参加培训人员到乙方指定地点接受培训或乙方到甲方所在地进行培训</w:t>
            </w:r>
          </w:p>
        </w:tc>
        <w:tc>
          <w:tcPr>
            <w:tcW w:w="1731" w:type="dxa"/>
            <w:tcBorders>
              <w:top w:val="single" w:color="000000" w:sz="12" w:space="0"/>
              <w:left w:val="single" w:color="000000" w:sz="6" w:space="0"/>
              <w:right w:val="single" w:color="000000" w:sz="6" w:space="0"/>
            </w:tcBorders>
            <w:noWrap w:val="0"/>
            <w:vAlign w:val="center"/>
          </w:tcPr>
          <w:p>
            <w:pPr>
              <w:autoSpaceDE w:val="0"/>
              <w:autoSpaceDN w:val="0"/>
              <w:adjustRightInd w:val="0"/>
              <w:snapToGrid w:val="0"/>
              <w:spacing w:line="360" w:lineRule="auto"/>
              <w:jc w:val="center"/>
              <w:textAlignment w:val="bottom"/>
              <w:rPr>
                <w:rFonts w:hint="eastAsia" w:ascii="宋体" w:hAnsi="宋体" w:eastAsia="宋体" w:cs="宋体"/>
                <w:b/>
                <w:bCs/>
                <w:color w:val="000000"/>
                <w:sz w:val="21"/>
                <w:szCs w:val="21"/>
              </w:rPr>
            </w:pPr>
            <w:r>
              <w:rPr>
                <w:rFonts w:hint="eastAsia" w:ascii="宋体" w:hAnsi="宋体" w:eastAsia="宋体" w:cs="宋体"/>
                <w:spacing w:val="6"/>
                <w:kern w:val="0"/>
                <w:sz w:val="21"/>
                <w:szCs w:val="21"/>
              </w:rPr>
              <w:t>法定工作日预约</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bottom w:val="single" w:color="000000" w:sz="12" w:space="0"/>
              <w:right w:val="single" w:color="auto" w:sz="4"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8</w:t>
            </w:r>
          </w:p>
        </w:tc>
        <w:tc>
          <w:tcPr>
            <w:tcW w:w="1316" w:type="dxa"/>
            <w:tcBorders>
              <w:top w:val="single" w:color="000000" w:sz="12" w:space="0"/>
              <w:left w:val="single" w:color="auto" w:sz="4" w:space="0"/>
              <w:bottom w:val="single" w:color="000000" w:sz="12"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维护培训</w:t>
            </w:r>
          </w:p>
        </w:tc>
        <w:tc>
          <w:tcPr>
            <w:tcW w:w="4213"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因甲方人员离职或岗位调动需要进行培训的系统维护人员。</w:t>
            </w:r>
          </w:p>
        </w:tc>
        <w:tc>
          <w:tcPr>
            <w:tcW w:w="1576"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甲方参加培训人员到乙方指定地点接受培训或乙方到甲方所在地进行培训</w:t>
            </w:r>
          </w:p>
        </w:tc>
        <w:tc>
          <w:tcPr>
            <w:tcW w:w="1731"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法定工作日预约</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bottom w:val="single" w:color="000000" w:sz="12" w:space="0"/>
              <w:right w:val="single" w:color="auto" w:sz="4"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9</w:t>
            </w:r>
          </w:p>
        </w:tc>
        <w:tc>
          <w:tcPr>
            <w:tcW w:w="1316" w:type="dxa"/>
            <w:tcBorders>
              <w:top w:val="single" w:color="000000" w:sz="12" w:space="0"/>
              <w:left w:val="single" w:color="auto" w:sz="4" w:space="0"/>
              <w:bottom w:val="single" w:color="000000" w:sz="12"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巡检服务</w:t>
            </w:r>
          </w:p>
        </w:tc>
        <w:tc>
          <w:tcPr>
            <w:tcW w:w="4213"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到甲方现场检查系统模块运行情况，与甲方维护人员沟通，提供常见问题的解决办法，巡检结束后给甲方提供巡检报告。</w:t>
            </w:r>
          </w:p>
        </w:tc>
        <w:tc>
          <w:tcPr>
            <w:tcW w:w="1576"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现场回访每季度至少一次</w:t>
            </w:r>
          </w:p>
        </w:tc>
        <w:tc>
          <w:tcPr>
            <w:tcW w:w="1731"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法定工作日预约</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bottom w:val="single" w:color="000000" w:sz="12" w:space="0"/>
              <w:right w:val="single" w:color="auto" w:sz="4" w:space="0"/>
            </w:tcBorders>
            <w:noWrap w:val="0"/>
            <w:vAlign w:val="center"/>
          </w:tcPr>
          <w:p>
            <w:pPr>
              <w:adjustRightInd w:val="0"/>
              <w:snapToGrid w:val="0"/>
              <w:spacing w:line="360" w:lineRule="auto"/>
              <w:jc w:val="center"/>
              <w:rPr>
                <w:rFonts w:hint="default"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10</w:t>
            </w:r>
          </w:p>
        </w:tc>
        <w:tc>
          <w:tcPr>
            <w:tcW w:w="1316" w:type="dxa"/>
            <w:tcBorders>
              <w:top w:val="single" w:color="000000" w:sz="12" w:space="0"/>
              <w:left w:val="single" w:color="auto" w:sz="4" w:space="0"/>
              <w:bottom w:val="single" w:color="000000" w:sz="12"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热线服务</w:t>
            </w:r>
          </w:p>
        </w:tc>
        <w:tc>
          <w:tcPr>
            <w:tcW w:w="4213"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lang w:eastAsia="zh-CN"/>
              </w:rPr>
            </w:pPr>
            <w:r>
              <w:rPr>
                <w:rFonts w:hint="eastAsia" w:ascii="宋体" w:hAnsi="宋体" w:eastAsia="宋体" w:cs="宋体"/>
                <w:spacing w:val="6"/>
                <w:kern w:val="0"/>
                <w:sz w:val="21"/>
                <w:szCs w:val="21"/>
              </w:rPr>
              <w:t>提供与软件系统相关的咨询服务及建立系统维护制度</w:t>
            </w:r>
          </w:p>
        </w:tc>
        <w:tc>
          <w:tcPr>
            <w:tcW w:w="1576"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电话、微信、网络远程</w:t>
            </w:r>
          </w:p>
        </w:tc>
        <w:tc>
          <w:tcPr>
            <w:tcW w:w="1731" w:type="dxa"/>
            <w:tcBorders>
              <w:top w:val="single" w:color="000000" w:sz="12" w:space="0"/>
              <w:left w:val="single" w:color="000000" w:sz="6" w:space="0"/>
              <w:bottom w:val="single" w:color="000000"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法定工作日</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bottom w:val="single" w:color="auto" w:sz="12" w:space="0"/>
              <w:right w:val="single" w:color="auto" w:sz="4"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lang w:val="en-US" w:eastAsia="zh-CN"/>
              </w:rPr>
            </w:pPr>
            <w:r>
              <w:rPr>
                <w:rFonts w:hint="eastAsia" w:ascii="宋体" w:hAnsi="宋体" w:eastAsia="宋体" w:cs="宋体"/>
                <w:spacing w:val="6"/>
                <w:kern w:val="0"/>
                <w:sz w:val="21"/>
                <w:szCs w:val="21"/>
              </w:rPr>
              <w:t>1</w:t>
            </w:r>
            <w:r>
              <w:rPr>
                <w:rFonts w:hint="eastAsia" w:ascii="宋体" w:hAnsi="宋体" w:cs="宋体"/>
                <w:spacing w:val="6"/>
                <w:kern w:val="0"/>
                <w:sz w:val="21"/>
                <w:szCs w:val="21"/>
                <w:lang w:val="en-US" w:eastAsia="zh-CN"/>
              </w:rPr>
              <w:t>1</w:t>
            </w:r>
          </w:p>
        </w:tc>
        <w:tc>
          <w:tcPr>
            <w:tcW w:w="1316" w:type="dxa"/>
            <w:tcBorders>
              <w:top w:val="single" w:color="000000" w:sz="12" w:space="0"/>
              <w:left w:val="single" w:color="auto" w:sz="4" w:space="0"/>
              <w:bottom w:val="single" w:color="auto" w:sz="12" w:space="0"/>
              <w:right w:val="single" w:color="auto" w:sz="4" w:space="0"/>
            </w:tcBorders>
            <w:noWrap w:val="0"/>
            <w:vAlign w:val="center"/>
          </w:tcPr>
          <w:p>
            <w:pPr>
              <w:adjustRightInd w:val="0"/>
              <w:snapToGrid w:val="0"/>
              <w:spacing w:line="360" w:lineRule="auto"/>
              <w:rPr>
                <w:rFonts w:hint="eastAsia" w:ascii="宋体" w:hAnsi="宋体" w:eastAsia="宋体" w:cs="宋体"/>
                <w:spacing w:val="6"/>
                <w:kern w:val="0"/>
                <w:sz w:val="21"/>
                <w:szCs w:val="21"/>
                <w:lang w:eastAsia="zh-CN"/>
              </w:rPr>
            </w:pPr>
            <w:r>
              <w:rPr>
                <w:rFonts w:hint="eastAsia" w:ascii="宋体" w:hAnsi="宋体" w:cs="宋体"/>
                <w:spacing w:val="6"/>
                <w:kern w:val="0"/>
                <w:sz w:val="21"/>
                <w:szCs w:val="21"/>
                <w:lang w:val="en-US" w:eastAsia="zh-CN"/>
              </w:rPr>
              <w:t>技术支持</w:t>
            </w:r>
          </w:p>
        </w:tc>
        <w:tc>
          <w:tcPr>
            <w:tcW w:w="4213" w:type="dxa"/>
            <w:tcBorders>
              <w:top w:val="single" w:color="000000" w:sz="12" w:space="0"/>
              <w:left w:val="single" w:color="000000" w:sz="6" w:space="0"/>
              <w:bottom w:val="single" w:color="auto"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解答系统及数据库疑难问题</w:t>
            </w:r>
            <w:r>
              <w:rPr>
                <w:rFonts w:hint="eastAsia" w:ascii="宋体" w:hAnsi="宋体" w:cs="宋体"/>
                <w:spacing w:val="6"/>
                <w:kern w:val="0"/>
                <w:sz w:val="21"/>
                <w:szCs w:val="21"/>
                <w:lang w:eastAsia="zh-CN"/>
              </w:rPr>
              <w:t>，</w:t>
            </w:r>
            <w:r>
              <w:rPr>
                <w:rFonts w:hint="eastAsia" w:ascii="宋体" w:hAnsi="宋体" w:cs="宋体"/>
                <w:spacing w:val="6"/>
                <w:kern w:val="0"/>
                <w:sz w:val="21"/>
                <w:szCs w:val="21"/>
                <w:lang w:val="en-US" w:eastAsia="zh-CN"/>
              </w:rPr>
              <w:t>系统适应性修改和系统现有功能的完善，提供客户端安装指导，安装说明书</w:t>
            </w:r>
            <w:r>
              <w:rPr>
                <w:rFonts w:hint="eastAsia" w:ascii="宋体" w:hAnsi="宋体" w:eastAsia="宋体" w:cs="宋体"/>
                <w:spacing w:val="6"/>
                <w:kern w:val="0"/>
                <w:sz w:val="21"/>
                <w:szCs w:val="21"/>
              </w:rPr>
              <w:t>。</w:t>
            </w:r>
          </w:p>
        </w:tc>
        <w:tc>
          <w:tcPr>
            <w:tcW w:w="1576" w:type="dxa"/>
            <w:tcBorders>
              <w:top w:val="single" w:color="000000" w:sz="12" w:space="0"/>
              <w:left w:val="single" w:color="000000" w:sz="6" w:space="0"/>
              <w:bottom w:val="single" w:color="auto"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电话、微信、网络远程</w:t>
            </w:r>
          </w:p>
        </w:tc>
        <w:tc>
          <w:tcPr>
            <w:tcW w:w="1731" w:type="dxa"/>
            <w:tcBorders>
              <w:top w:val="single" w:color="000000" w:sz="12" w:space="0"/>
              <w:left w:val="single" w:color="000000" w:sz="6" w:space="0"/>
              <w:bottom w:val="single" w:color="auto"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法定工作日</w:t>
            </w:r>
          </w:p>
        </w:tc>
      </w:tr>
      <w:tr>
        <w:tblPrEx>
          <w:tblCellMar>
            <w:top w:w="0" w:type="dxa"/>
            <w:left w:w="28" w:type="dxa"/>
            <w:bottom w:w="0" w:type="dxa"/>
            <w:right w:w="28" w:type="dxa"/>
          </w:tblCellMar>
        </w:tblPrEx>
        <w:trPr>
          <w:trHeight w:val="20" w:hRule="atLeast"/>
          <w:jc w:val="center"/>
        </w:trPr>
        <w:tc>
          <w:tcPr>
            <w:tcW w:w="724" w:type="dxa"/>
            <w:tcBorders>
              <w:top w:val="single" w:color="000000" w:sz="12" w:space="0"/>
              <w:left w:val="single" w:color="000000" w:sz="12" w:space="0"/>
              <w:bottom w:val="single" w:color="auto" w:sz="12" w:space="0"/>
              <w:right w:val="single" w:color="auto" w:sz="4" w:space="0"/>
            </w:tcBorders>
            <w:noWrap w:val="0"/>
            <w:vAlign w:val="center"/>
          </w:tcPr>
          <w:p>
            <w:pPr>
              <w:adjustRightInd w:val="0"/>
              <w:snapToGrid w:val="0"/>
              <w:spacing w:line="360" w:lineRule="auto"/>
              <w:jc w:val="center"/>
              <w:rPr>
                <w:rFonts w:hint="default"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12</w:t>
            </w:r>
          </w:p>
        </w:tc>
        <w:tc>
          <w:tcPr>
            <w:tcW w:w="1316" w:type="dxa"/>
            <w:tcBorders>
              <w:top w:val="single" w:color="000000" w:sz="12" w:space="0"/>
              <w:left w:val="single" w:color="auto" w:sz="4" w:space="0"/>
              <w:bottom w:val="single" w:color="auto" w:sz="12" w:space="0"/>
              <w:right w:val="single" w:color="auto" w:sz="4" w:space="0"/>
            </w:tcBorders>
            <w:noWrap w:val="0"/>
            <w:vAlign w:val="center"/>
          </w:tcPr>
          <w:p>
            <w:pPr>
              <w:adjustRightInd w:val="0"/>
              <w:snapToGrid w:val="0"/>
              <w:spacing w:line="360" w:lineRule="auto"/>
              <w:rPr>
                <w:rFonts w:hint="default" w:ascii="宋体" w:hAnsi="宋体" w:cs="宋体"/>
                <w:spacing w:val="6"/>
                <w:kern w:val="0"/>
                <w:sz w:val="21"/>
                <w:szCs w:val="21"/>
                <w:lang w:val="en-US" w:eastAsia="zh-CN"/>
              </w:rPr>
            </w:pPr>
            <w:r>
              <w:rPr>
                <w:rFonts w:hint="eastAsia" w:ascii="宋体" w:hAnsi="宋体" w:cs="宋体"/>
                <w:spacing w:val="6"/>
                <w:kern w:val="0"/>
                <w:sz w:val="21"/>
                <w:szCs w:val="21"/>
                <w:lang w:val="en-US" w:eastAsia="zh-CN"/>
              </w:rPr>
              <w:t>字典调整</w:t>
            </w:r>
          </w:p>
        </w:tc>
        <w:tc>
          <w:tcPr>
            <w:tcW w:w="4213" w:type="dxa"/>
            <w:tcBorders>
              <w:top w:val="single" w:color="000000" w:sz="12" w:space="0"/>
              <w:left w:val="single" w:color="000000" w:sz="6" w:space="0"/>
              <w:bottom w:val="single" w:color="auto" w:sz="12" w:space="0"/>
              <w:right w:val="single" w:color="000000" w:sz="6" w:space="0"/>
            </w:tcBorders>
            <w:noWrap w:val="0"/>
            <w:vAlign w:val="center"/>
          </w:tcPr>
          <w:p>
            <w:pPr>
              <w:adjustRightInd w:val="0"/>
              <w:snapToGrid w:val="0"/>
              <w:spacing w:line="360" w:lineRule="auto"/>
              <w:rPr>
                <w:rFonts w:hint="default"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字典调整指导，涉及工作量较大的且用户方无法自行解决的，双方协商解决，如政策性调整或基础字典全面重整等。</w:t>
            </w:r>
          </w:p>
        </w:tc>
        <w:tc>
          <w:tcPr>
            <w:tcW w:w="1576" w:type="dxa"/>
            <w:tcBorders>
              <w:top w:val="single" w:color="000000" w:sz="12" w:space="0"/>
              <w:left w:val="single" w:color="000000" w:sz="6" w:space="0"/>
              <w:bottom w:val="single" w:color="auto"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lang w:val="en-US" w:eastAsia="zh-CN" w:bidi="ar-SA"/>
              </w:rPr>
            </w:pPr>
            <w:r>
              <w:rPr>
                <w:rFonts w:hint="eastAsia" w:ascii="宋体" w:hAnsi="宋体" w:eastAsia="宋体" w:cs="宋体"/>
                <w:spacing w:val="6"/>
                <w:kern w:val="0"/>
                <w:sz w:val="21"/>
                <w:szCs w:val="21"/>
              </w:rPr>
              <w:t>电话、微信、网络远程</w:t>
            </w:r>
          </w:p>
        </w:tc>
        <w:tc>
          <w:tcPr>
            <w:tcW w:w="1731" w:type="dxa"/>
            <w:tcBorders>
              <w:top w:val="single" w:color="000000" w:sz="12" w:space="0"/>
              <w:left w:val="single" w:color="000000" w:sz="6" w:space="0"/>
              <w:bottom w:val="single" w:color="auto" w:sz="12" w:space="0"/>
              <w:right w:val="single" w:color="000000" w:sz="6" w:space="0"/>
            </w:tcBorders>
            <w:noWrap w:val="0"/>
            <w:vAlign w:val="center"/>
          </w:tcPr>
          <w:p>
            <w:pPr>
              <w:adjustRightInd w:val="0"/>
              <w:snapToGrid w:val="0"/>
              <w:spacing w:line="360" w:lineRule="auto"/>
              <w:rPr>
                <w:rFonts w:hint="eastAsia" w:ascii="宋体" w:hAnsi="宋体" w:eastAsia="宋体" w:cs="宋体"/>
                <w:spacing w:val="6"/>
                <w:kern w:val="0"/>
                <w:sz w:val="21"/>
                <w:szCs w:val="21"/>
                <w:lang w:val="en-US" w:eastAsia="zh-CN" w:bidi="ar-SA"/>
              </w:rPr>
            </w:pPr>
            <w:r>
              <w:rPr>
                <w:rFonts w:hint="eastAsia" w:ascii="宋体" w:hAnsi="宋体" w:eastAsia="宋体" w:cs="宋体"/>
                <w:spacing w:val="6"/>
                <w:kern w:val="0"/>
                <w:sz w:val="21"/>
                <w:szCs w:val="21"/>
              </w:rPr>
              <w:t>法定工作日</w:t>
            </w:r>
          </w:p>
        </w:tc>
      </w:tr>
      <w:tr>
        <w:tblPrEx>
          <w:tblCellMar>
            <w:top w:w="0" w:type="dxa"/>
            <w:left w:w="28" w:type="dxa"/>
            <w:bottom w:w="0" w:type="dxa"/>
            <w:right w:w="28" w:type="dxa"/>
          </w:tblCellMar>
        </w:tblPrEx>
        <w:trPr>
          <w:trHeight w:val="20" w:hRule="atLeast"/>
          <w:jc w:val="center"/>
        </w:trPr>
        <w:tc>
          <w:tcPr>
            <w:tcW w:w="724"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jc w:val="center"/>
              <w:rPr>
                <w:rFonts w:hint="eastAsia" w:ascii="宋体" w:hAnsi="宋体" w:eastAsia="宋体" w:cs="宋体"/>
                <w:spacing w:val="6"/>
                <w:kern w:val="0"/>
                <w:sz w:val="21"/>
                <w:szCs w:val="21"/>
                <w:lang w:val="en-US" w:eastAsia="zh-CN"/>
              </w:rPr>
            </w:pPr>
            <w:r>
              <w:rPr>
                <w:rFonts w:hint="eastAsia" w:ascii="宋体" w:hAnsi="宋体" w:cs="宋体"/>
                <w:spacing w:val="6"/>
                <w:kern w:val="0"/>
                <w:sz w:val="21"/>
                <w:szCs w:val="21"/>
                <w:lang w:val="en-US" w:eastAsia="zh-CN"/>
              </w:rPr>
              <w:t>13</w:t>
            </w:r>
          </w:p>
        </w:tc>
        <w:tc>
          <w:tcPr>
            <w:tcW w:w="1316"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系统完善</w:t>
            </w:r>
          </w:p>
        </w:tc>
        <w:tc>
          <w:tcPr>
            <w:tcW w:w="4213" w:type="dxa"/>
            <w:tcBorders>
              <w:top w:val="single" w:color="auto" w:sz="12" w:space="0"/>
              <w:left w:val="single" w:color="auto" w:sz="12" w:space="0"/>
              <w:bottom w:val="single" w:color="auto" w:sz="12" w:space="0"/>
              <w:right w:val="single" w:color="auto" w:sz="12" w:space="0"/>
            </w:tcBorders>
            <w:noWrap w:val="0"/>
            <w:vAlign w:val="center"/>
          </w:tcPr>
          <w:p>
            <w:pPr>
              <w:numPr>
                <w:ilvl w:val="0"/>
                <w:numId w:val="0"/>
              </w:numPr>
              <w:adjustRightInd w:val="0"/>
              <w:snapToGrid w:val="0"/>
              <w:spacing w:line="360" w:lineRule="auto"/>
              <w:rPr>
                <w:rFonts w:hint="eastAsia"/>
                <w:lang w:val="en-US" w:eastAsia="zh-CN"/>
              </w:rPr>
            </w:pPr>
            <w:r>
              <w:rPr>
                <w:rFonts w:hint="eastAsia"/>
                <w:lang w:val="en-US" w:eastAsia="zh-CN"/>
              </w:rPr>
              <w:t>1.自动核算药物剂量，绑定智业系统嵌入患者身高体重，自动算体表面积和剂量，新生儿营养液标签体现药液质量克数。</w:t>
            </w:r>
          </w:p>
          <w:p>
            <w:pPr>
              <w:numPr>
                <w:ilvl w:val="0"/>
                <w:numId w:val="0"/>
              </w:numPr>
              <w:adjustRightInd w:val="0"/>
              <w:snapToGrid w:val="0"/>
              <w:spacing w:line="360" w:lineRule="auto"/>
              <w:rPr>
                <w:rFonts w:hint="eastAsia"/>
                <w:lang w:val="en-US" w:eastAsia="zh-CN"/>
              </w:rPr>
            </w:pPr>
            <w:r>
              <w:rPr>
                <w:rFonts w:hint="eastAsia"/>
                <w:lang w:val="en-US" w:eastAsia="zh-CN"/>
              </w:rPr>
              <w:t>2.绑定his 系统，针对停嘱药品在用药汇总清单里进行库存剔除。</w:t>
            </w:r>
          </w:p>
        </w:tc>
        <w:tc>
          <w:tcPr>
            <w:tcW w:w="1576"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网络远程、现场</w:t>
            </w:r>
          </w:p>
        </w:tc>
        <w:tc>
          <w:tcPr>
            <w:tcW w:w="1731" w:type="dxa"/>
            <w:tcBorders>
              <w:top w:val="single" w:color="auto" w:sz="12" w:space="0"/>
              <w:left w:val="single" w:color="auto" w:sz="12" w:space="0"/>
              <w:bottom w:val="single" w:color="auto" w:sz="12" w:space="0"/>
              <w:right w:val="single" w:color="auto" w:sz="12" w:space="0"/>
            </w:tcBorders>
            <w:noWrap w:val="0"/>
            <w:vAlign w:val="center"/>
          </w:tcPr>
          <w:p>
            <w:pPr>
              <w:adjustRightInd w:val="0"/>
              <w:snapToGrid w:val="0"/>
              <w:spacing w:line="360" w:lineRule="auto"/>
              <w:rPr>
                <w:rFonts w:hint="eastAsia" w:ascii="宋体" w:hAnsi="宋体" w:eastAsia="宋体" w:cs="宋体"/>
                <w:spacing w:val="6"/>
                <w:kern w:val="0"/>
                <w:sz w:val="21"/>
                <w:szCs w:val="21"/>
              </w:rPr>
            </w:pPr>
            <w:r>
              <w:rPr>
                <w:rFonts w:hint="eastAsia" w:ascii="宋体" w:hAnsi="宋体" w:eastAsia="宋体" w:cs="宋体"/>
                <w:spacing w:val="6"/>
                <w:kern w:val="0"/>
                <w:sz w:val="21"/>
                <w:szCs w:val="21"/>
              </w:rPr>
              <w:t>法定工作日、需要时</w:t>
            </w:r>
          </w:p>
        </w:tc>
      </w:tr>
    </w:tbl>
    <w:p>
      <w:pPr>
        <w:rPr>
          <w:rFonts w:hint="eastAsia"/>
          <w:vertAlign w:val="baseline"/>
          <w:lang w:val="en-US" w:eastAsia="zh-CN"/>
        </w:rPr>
      </w:pPr>
    </w:p>
    <w:p>
      <w:pPr>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Cs/>
          <w:color w:val="000000"/>
          <w:sz w:val="24"/>
          <w:szCs w:val="24"/>
        </w:rPr>
      </w:pPr>
      <w:r>
        <w:rPr>
          <w:rFonts w:hint="eastAsia" w:ascii="宋体" w:hAnsi="宋体" w:eastAsia="宋体" w:cs="宋体"/>
          <w:sz w:val="24"/>
          <w:szCs w:val="24"/>
          <w:vertAlign w:val="baseline"/>
          <w:lang w:val="en-US" w:eastAsia="zh-CN"/>
        </w:rPr>
        <w:t>四、</w:t>
      </w:r>
      <w:r>
        <w:rPr>
          <w:rFonts w:hint="eastAsia" w:ascii="宋体" w:hAnsi="宋体" w:eastAsia="宋体" w:cs="宋体"/>
          <w:sz w:val="24"/>
          <w:szCs w:val="24"/>
        </w:rPr>
        <w:t>服务时间：</w:t>
      </w:r>
      <w:r>
        <w:rPr>
          <w:rFonts w:hint="eastAsia" w:ascii="宋体" w:hAnsi="宋体" w:eastAsia="宋体" w:cs="宋体"/>
          <w:bCs/>
          <w:color w:val="000000"/>
          <w:sz w:val="24"/>
          <w:szCs w:val="24"/>
        </w:rPr>
        <w:t>全天候7*24小时，</w:t>
      </w:r>
      <w:r>
        <w:rPr>
          <w:rFonts w:hint="eastAsia" w:ascii="宋体" w:hAnsi="宋体" w:cs="宋体"/>
          <w:bCs/>
          <w:color w:val="000000"/>
          <w:sz w:val="24"/>
          <w:szCs w:val="24"/>
          <w:lang w:val="en-US" w:eastAsia="zh-CN"/>
        </w:rPr>
        <w:t>在接到甲方通知后，必</w:t>
      </w:r>
      <w:r>
        <w:rPr>
          <w:rFonts w:hint="eastAsia" w:ascii="宋体" w:hAnsi="宋体" w:eastAsia="宋体" w:cs="宋体"/>
          <w:bCs/>
          <w:color w:val="000000"/>
          <w:sz w:val="24"/>
          <w:szCs w:val="24"/>
        </w:rPr>
        <w:t>须保证有维护人员解决问题</w:t>
      </w:r>
      <w:r>
        <w:rPr>
          <w:rFonts w:hint="eastAsia" w:ascii="宋体" w:hAnsi="宋体" w:cs="宋体"/>
          <w:bCs/>
          <w:color w:val="000000"/>
          <w:sz w:val="24"/>
          <w:szCs w:val="24"/>
          <w:lang w:eastAsia="zh-CN"/>
        </w:rPr>
        <w:t>，</w:t>
      </w:r>
      <w:r>
        <w:rPr>
          <w:rFonts w:hint="eastAsia" w:ascii="宋体" w:hAnsi="宋体" w:cs="宋体"/>
          <w:bCs/>
          <w:color w:val="000000"/>
          <w:sz w:val="24"/>
          <w:szCs w:val="24"/>
          <w:lang w:val="en-US" w:eastAsia="zh-CN"/>
        </w:rPr>
        <w:t>系统维保响应时间≤30分钟</w:t>
      </w:r>
      <w:r>
        <w:rPr>
          <w:rFonts w:hint="eastAsia" w:ascii="宋体" w:hAnsi="宋体" w:eastAsia="宋体" w:cs="宋体"/>
          <w:bCs/>
          <w:color w:val="000000"/>
          <w:sz w:val="24"/>
          <w:szCs w:val="24"/>
        </w:rPr>
        <w:t>，</w:t>
      </w:r>
      <w:r>
        <w:rPr>
          <w:rFonts w:hint="eastAsia" w:ascii="宋体" w:hAnsi="宋体" w:cs="宋体"/>
          <w:bCs/>
          <w:color w:val="000000"/>
          <w:sz w:val="24"/>
          <w:szCs w:val="24"/>
          <w:lang w:val="en-US" w:eastAsia="zh-CN"/>
        </w:rPr>
        <w:t>如果远程无法解决的，乙方需在接到甲方通知后立即安排人员2小时内到达现场解决。售后服务维保所产生的费用均由乙方负责，维护完毕反馈问题解决办法，并将问题及解决情况形成记录文档。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远程服务：包括电话、传真、Email、MSN、QQ等在线技术服务。服务热线：0592-2912182，接到甲方故障通知时立即为甲方提供技术咨询和受理故障维护服务；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sz w:val="24"/>
          <w:szCs w:val="24"/>
          <w:lang w:val="en-US" w:eastAsia="zh-CN"/>
        </w:rPr>
      </w:pPr>
      <w:r>
        <w:rPr>
          <w:rFonts w:hint="eastAsia" w:ascii="宋体" w:hAnsi="宋体" w:eastAsia="宋体" w:cs="宋体"/>
          <w:sz w:val="24"/>
          <w:szCs w:val="24"/>
          <w:lang w:val="en-US" w:eastAsia="zh-CN"/>
        </w:rPr>
        <w:t>六、</w:t>
      </w:r>
      <w:r>
        <w:rPr>
          <w:rFonts w:hint="eastAsia" w:ascii="宋体" w:hAnsi="宋体" w:eastAsia="宋体" w:cs="宋体"/>
          <w:sz w:val="24"/>
          <w:szCs w:val="24"/>
        </w:rPr>
        <w:t>现场服务：对电话、网络方式无法解决的问题，需上门服务时，乙方自接到甲方故障通知时安排技术服务人员在2小时内到达现场进行故障处理；</w:t>
      </w:r>
      <w:r>
        <w:rPr>
          <w:rFonts w:hint="eastAsia" w:ascii="宋体" w:hAnsi="宋体" w:eastAsia="宋体" w:cs="宋体"/>
          <w:color w:val="000000"/>
          <w:sz w:val="24"/>
          <w:szCs w:val="24"/>
        </w:rPr>
        <w:t>根据医院需求派遣服务人员前往现</w:t>
      </w:r>
      <w:r>
        <w:rPr>
          <w:rFonts w:hint="eastAsia" w:ascii="宋体" w:hAnsi="宋体" w:eastAsia="宋体" w:cs="宋体"/>
          <w:color w:val="000000"/>
          <w:sz w:val="24"/>
          <w:szCs w:val="24"/>
          <w:lang w:val="en-US" w:eastAsia="zh-CN"/>
        </w:rPr>
        <w:t>场驻点服务</w:t>
      </w:r>
      <w:r>
        <w:rPr>
          <w:rFonts w:hint="eastAsia" w:ascii="宋体" w:hAnsi="宋体" w:cs="宋体"/>
          <w:color w:val="000000"/>
          <w:sz w:val="24"/>
          <w:szCs w:val="24"/>
          <w:lang w:val="en-US" w:eastAsia="zh-CN"/>
        </w:rPr>
        <w:t>，每周不低于2天现场驻点维护我院需求，现场解决处理问题需列明清单并由甲方进行评价，根据评价结果进行考评，累计三次不合格扣除项目费用总额的20%。</w:t>
      </w:r>
      <w:bookmarkStart w:id="0" w:name="_GoBack"/>
      <w:bookmarkEnd w:id="0"/>
      <w:r>
        <w:rPr>
          <w:rFonts w:hint="eastAsia" w:ascii="宋体" w:hAnsi="宋体" w:cs="宋体"/>
          <w:color w:val="000000"/>
          <w:sz w:val="24"/>
          <w:szCs w:val="24"/>
          <w:lang w:val="en-US" w:eastAsia="zh-CN"/>
        </w:rPr>
        <w:t>乙方应向甲方缴纳以上规定之罚款，不得推诿和延迟，不可抗拒的自然因素除外。院方需求提出后，两个工作日内售后服务人员对新建需求进行分析（调研并做出分析响应）分配，与院方及技术人员确认计划完成时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lang w:val="en-US" w:eastAsia="zh-CN"/>
        </w:rPr>
      </w:pPr>
    </w:p>
    <w:p>
      <w:pPr>
        <w:rPr>
          <w:rFonts w:hint="default"/>
          <w:vertAlign w:val="baseline"/>
          <w:lang w:val="en-US" w:eastAsia="zh-CN"/>
        </w:rPr>
      </w:pPr>
    </w:p>
    <w:p>
      <w:pPr>
        <w:rPr>
          <w:vertAlign w:val="baseli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867358"/>
    <w:multiLevelType w:val="singleLevel"/>
    <w:tmpl w:val="BA867358"/>
    <w:lvl w:ilvl="0" w:tentative="0">
      <w:start w:val="1"/>
      <w:numFmt w:val="decimal"/>
      <w:lvlText w:val="%1."/>
      <w:lvlJc w:val="left"/>
      <w:pPr>
        <w:tabs>
          <w:tab w:val="left" w:pos="312"/>
        </w:tabs>
      </w:pPr>
    </w:lvl>
  </w:abstractNum>
  <w:abstractNum w:abstractNumId="1">
    <w:nsid w:val="C002F892"/>
    <w:multiLevelType w:val="singleLevel"/>
    <w:tmpl w:val="C002F892"/>
    <w:lvl w:ilvl="0" w:tentative="0">
      <w:start w:val="1"/>
      <w:numFmt w:val="decimal"/>
      <w:suff w:val="nothing"/>
      <w:lvlText w:val="%1、"/>
      <w:lvlJc w:val="left"/>
    </w:lvl>
  </w:abstractNum>
  <w:abstractNum w:abstractNumId="2">
    <w:nsid w:val="CE96F531"/>
    <w:multiLevelType w:val="singleLevel"/>
    <w:tmpl w:val="CE96F531"/>
    <w:lvl w:ilvl="0" w:tentative="0">
      <w:start w:val="1"/>
      <w:numFmt w:val="chineseCounting"/>
      <w:suff w:val="nothing"/>
      <w:lvlText w:val="%1、"/>
      <w:lvlJc w:val="left"/>
      <w:rPr>
        <w:rFonts w:hint="eastAsia"/>
      </w:rPr>
    </w:lvl>
  </w:abstractNum>
  <w:abstractNum w:abstractNumId="3">
    <w:nsid w:val="472B0179"/>
    <w:multiLevelType w:val="multilevel"/>
    <w:tmpl w:val="472B0179"/>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011E6"/>
    <w:rsid w:val="093415E2"/>
    <w:rsid w:val="0EFA06C0"/>
    <w:rsid w:val="12142347"/>
    <w:rsid w:val="13CA2860"/>
    <w:rsid w:val="15D606F4"/>
    <w:rsid w:val="1886282E"/>
    <w:rsid w:val="216D685B"/>
    <w:rsid w:val="227333F4"/>
    <w:rsid w:val="246F662D"/>
    <w:rsid w:val="278624B4"/>
    <w:rsid w:val="282302D7"/>
    <w:rsid w:val="2AB87FBB"/>
    <w:rsid w:val="2B913CE8"/>
    <w:rsid w:val="31F81D24"/>
    <w:rsid w:val="41653EBB"/>
    <w:rsid w:val="41F402BE"/>
    <w:rsid w:val="426A43E2"/>
    <w:rsid w:val="489407F4"/>
    <w:rsid w:val="4A766C23"/>
    <w:rsid w:val="4AA02D76"/>
    <w:rsid w:val="4C566B65"/>
    <w:rsid w:val="4DA735EE"/>
    <w:rsid w:val="59E26762"/>
    <w:rsid w:val="5D7E0E11"/>
    <w:rsid w:val="5F617921"/>
    <w:rsid w:val="6308466F"/>
    <w:rsid w:val="631C14D0"/>
    <w:rsid w:val="66752572"/>
    <w:rsid w:val="6EDE4683"/>
    <w:rsid w:val="70B87F02"/>
    <w:rsid w:val="73277620"/>
    <w:rsid w:val="743D1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line="360" w:lineRule="auto"/>
      <w:outlineLvl w:val="0"/>
    </w:pPr>
    <w:rPr>
      <w:rFonts w:eastAsia="黑体"/>
      <w:b/>
      <w:kern w:val="44"/>
      <w:sz w:val="36"/>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1560</Words>
  <Characters>1593</Characters>
  <Lines>0</Lines>
  <Paragraphs>0</Paragraphs>
  <TotalTime>154</TotalTime>
  <ScaleCrop>false</ScaleCrop>
  <LinksUpToDate>false</LinksUpToDate>
  <CharactersWithSpaces>1594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2026-06-23T07:23:00Z</dcterms:created>
  <dc:creator>edu</dc:creator>
  <cp:lastModifiedBy>edu</cp:lastModifiedBy>
  <dcterms:modified xsi:type="dcterms:W3CDTF">2026-06-24T08:28:29Z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KSOTemplateDocerSaveRecord">
    <vt:lpwstr>eyJoZGlkIjoiYTlmZWM4ZGFlZGY3NTE3NDI0MGM0OWE1MDcxMTUyYzYiLCJ1c2VySWQiOiI1NzM5OTI1MDYifQ==</vt:lpwstr>
  </property>
  <property fmtid="{D5CDD505-2E9C-101B-9397-08002B2CF9AE}" pid="4" name="ICV">
    <vt:lpwstr>853E81D487D047E0AC6074BAD3044566_13</vt:lpwstr>
  </property>
</Properties>
</file>